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2587"/>
        <w:gridCol w:w="1531"/>
      </w:tblGrid>
      <w:tr w:rsidR="00F90DD5" w:rsidRPr="007E5135" w14:paraId="3D087BEF" w14:textId="77777777" w:rsidTr="00E073A3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000000" w:themeFill="text1"/>
            <w:vAlign w:val="center"/>
          </w:tcPr>
          <w:p w14:paraId="58DC8FB1" w14:textId="7FB7DE4A" w:rsidR="00F90DD5" w:rsidRPr="007E5135" w:rsidRDefault="00F90DD5" w:rsidP="00F90DD5">
            <w:pPr>
              <w:pStyle w:val="Sectionreference"/>
            </w:pPr>
            <w:r>
              <w:t>4</w:t>
            </w:r>
            <w:r w:rsidRPr="007E5135">
              <w:t>-</w:t>
            </w:r>
            <w:r w:rsidR="001C28C0">
              <w:t>5</w:t>
            </w:r>
          </w:p>
        </w:tc>
        <w:tc>
          <w:tcPr>
            <w:tcW w:w="12587" w:type="dxa"/>
            <w:tcBorders>
              <w:top w:val="single" w:sz="24" w:space="0" w:color="D9D9D9" w:themeColor="background1" w:themeShade="D9"/>
              <w:bottom w:val="single" w:sz="24" w:space="0" w:color="D9D9D9" w:themeColor="background1" w:themeShade="D9"/>
            </w:tcBorders>
            <w:vAlign w:val="center"/>
          </w:tcPr>
          <w:p w14:paraId="20814F2C" w14:textId="120F9C85" w:rsidR="00F90DD5" w:rsidRPr="00F90DD5" w:rsidRDefault="001C28C0" w:rsidP="00F90DD5">
            <w:pPr>
              <w:pStyle w:val="Title"/>
            </w:pPr>
            <w:r w:rsidRPr="001C28C0">
              <w:t>References and further information</w:t>
            </w:r>
          </w:p>
        </w:tc>
        <w:tc>
          <w:tcPr>
            <w:tcW w:w="1531" w:type="dxa"/>
            <w:tcBorders>
              <w:top w:val="single" w:sz="24" w:space="0" w:color="D9D9D9" w:themeColor="background1" w:themeShade="D9"/>
              <w:bottom w:val="single" w:sz="24" w:space="0" w:color="D9D9D9" w:themeColor="background1" w:themeShade="D9"/>
            </w:tcBorders>
            <w:vAlign w:val="center"/>
          </w:tcPr>
          <w:p w14:paraId="1BC7049B" w14:textId="13261F73" w:rsidR="00F90DD5" w:rsidRPr="003F27F8" w:rsidRDefault="003F27F8" w:rsidP="003B7A0F">
            <w:pPr>
              <w:pStyle w:val="referencedata"/>
            </w:pPr>
            <w:r w:rsidRPr="003F27F8">
              <w:t>Version V1.0</w:t>
            </w:r>
            <w:r>
              <w:br/>
            </w:r>
            <w:r w:rsidR="003035A6">
              <w:rPr>
                <w:rFonts w:eastAsia="Calibri" w:cs="Calibri"/>
                <w:color w:val="000000"/>
              </w:rPr>
              <w:t>November 2025</w:t>
            </w:r>
          </w:p>
        </w:tc>
      </w:tr>
    </w:tbl>
    <w:p w14:paraId="2B8CEFE9" w14:textId="77777777" w:rsidR="00F90DD5" w:rsidRPr="00F90DD5" w:rsidRDefault="00F90DD5" w:rsidP="00D254D1">
      <w:pPr>
        <w:rPr>
          <w:sz w:val="22"/>
          <w:szCs w:val="22"/>
        </w:rPr>
      </w:pPr>
    </w:p>
    <w:tbl>
      <w:tblPr>
        <w:tblStyle w:val="TableGrid"/>
        <w:tblW w:w="15138" w:type="dxa"/>
        <w:tblBorders>
          <w:top w:val="single" w:sz="24" w:space="0" w:color="auto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none" w:sz="0" w:space="0" w:color="auto"/>
          <w:insideV w:val="none" w:sz="0" w:space="0" w:color="auto"/>
        </w:tblBorders>
        <w:shd w:val="clear" w:color="auto" w:fill="000000" w:themeFill="text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138"/>
      </w:tblGrid>
      <w:tr w:rsidR="001C28C0" w:rsidRPr="00157170" w14:paraId="5CB50700" w14:textId="77777777" w:rsidTr="00157170">
        <w:trPr>
          <w:trHeight w:val="513"/>
        </w:trPr>
        <w:tc>
          <w:tcPr>
            <w:tcW w:w="15138" w:type="dxa"/>
            <w:tcBorders>
              <w:bottom w:val="single" w:sz="8" w:space="0" w:color="000000" w:themeColor="text1"/>
            </w:tcBorders>
            <w:tcMar>
              <w:top w:w="113" w:type="dxa"/>
            </w:tcMar>
          </w:tcPr>
          <w:p w14:paraId="1180C169" w14:textId="77777777" w:rsidR="001C28C0" w:rsidRPr="00157170" w:rsidRDefault="001C28C0" w:rsidP="00157170">
            <w:pPr>
              <w:pStyle w:val="Introparagraph"/>
              <w:spacing w:before="0" w:after="0"/>
              <w:rPr>
                <w:sz w:val="20"/>
                <w:szCs w:val="20"/>
              </w:rPr>
            </w:pPr>
            <w:r w:rsidRPr="00157170">
              <w:rPr>
                <w:sz w:val="20"/>
                <w:szCs w:val="20"/>
              </w:rPr>
              <w:t>National paediatric early warning system (PEWS) observation and escalation charts</w:t>
            </w:r>
          </w:p>
          <w:p w14:paraId="22817D6A" w14:textId="14FA0AAE" w:rsidR="001C28C0" w:rsidRPr="00157170" w:rsidRDefault="001C28C0" w:rsidP="00157170">
            <w:pPr>
              <w:pStyle w:val="Introparagraph"/>
              <w:spacing w:before="0" w:after="0"/>
              <w:rPr>
                <w:sz w:val="20"/>
                <w:szCs w:val="20"/>
              </w:rPr>
            </w:pPr>
            <w:hyperlink r:id="rId7" w:tooltip="https://www.england.nhs.uk/publication/national-pews-observation-and-escalation-charts/" w:history="1">
              <w:r w:rsidRPr="00157170">
                <w:rPr>
                  <w:rStyle w:val="Hyperlink"/>
                  <w:sz w:val="20"/>
                  <w:szCs w:val="20"/>
                </w:rPr>
                <w:t>https://www.england.nhs.uk/publication/national-pews-observation-and-escalation-charts/</w:t>
              </w:r>
            </w:hyperlink>
          </w:p>
        </w:tc>
      </w:tr>
      <w:tr w:rsidR="001C28C0" w:rsidRPr="00157170" w14:paraId="716122F5" w14:textId="77777777" w:rsidTr="00157170">
        <w:trPr>
          <w:trHeight w:val="522"/>
        </w:trPr>
        <w:tc>
          <w:tcPr>
            <w:tcW w:w="1513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tcMar>
              <w:top w:w="113" w:type="dxa"/>
            </w:tcMar>
          </w:tcPr>
          <w:p w14:paraId="5BE4BE30" w14:textId="2903E1CC" w:rsidR="001C28C0" w:rsidRPr="00157170" w:rsidRDefault="001C28C0" w:rsidP="00157170">
            <w:pPr>
              <w:pStyle w:val="Introparagraph"/>
              <w:spacing w:before="0" w:after="0"/>
              <w:rPr>
                <w:sz w:val="20"/>
                <w:szCs w:val="20"/>
              </w:rPr>
            </w:pPr>
            <w:r w:rsidRPr="00157170">
              <w:rPr>
                <w:sz w:val="20"/>
                <w:szCs w:val="20"/>
              </w:rPr>
              <w:t>National early warning system (NEWS)</w:t>
            </w:r>
            <w:r w:rsidRPr="00157170">
              <w:rPr>
                <w:sz w:val="20"/>
                <w:szCs w:val="20"/>
              </w:rPr>
              <w:br/>
            </w:r>
            <w:hyperlink r:id="rId8" w:history="1">
              <w:r w:rsidRPr="00157170">
                <w:rPr>
                  <w:rStyle w:val="Hyperlink"/>
                  <w:sz w:val="20"/>
                  <w:szCs w:val="20"/>
                </w:rPr>
                <w:t>https://www.england.nhs.uk/ourwork/clinical-policy/sepsis/nationalearlywarningscore/</w:t>
              </w:r>
            </w:hyperlink>
          </w:p>
        </w:tc>
      </w:tr>
      <w:tr w:rsidR="00AA0CB0" w:rsidRPr="00157170" w14:paraId="6ED7BA74" w14:textId="77777777" w:rsidTr="00157170">
        <w:trPr>
          <w:trHeight w:val="522"/>
        </w:trPr>
        <w:tc>
          <w:tcPr>
            <w:tcW w:w="1513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tcMar>
              <w:top w:w="113" w:type="dxa"/>
            </w:tcMar>
          </w:tcPr>
          <w:p w14:paraId="1F3C7E01" w14:textId="77777777" w:rsidR="00AA0CB0" w:rsidRDefault="00AA0CB0" w:rsidP="00157170">
            <w:pPr>
              <w:pStyle w:val="Introparagraph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NICE guidelines for adult and paediatric asthma</w:t>
            </w:r>
          </w:p>
          <w:p w14:paraId="1A4BF3E1" w14:textId="4EEB4D4E" w:rsidR="00AA0CB0" w:rsidRPr="00AA0CB0" w:rsidRDefault="00AA0CB0" w:rsidP="00AA0CB0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 w:cstheme="minorHAnsi"/>
                <w:color w:val="467887"/>
                <w:sz w:val="20"/>
                <w:szCs w:val="20"/>
              </w:rPr>
            </w:pPr>
            <w:hyperlink r:id="rId9" w:history="1">
              <w:r w:rsidRPr="00AA0CB0">
                <w:rPr>
                  <w:rStyle w:val="Hyperlink"/>
                  <w:rFonts w:eastAsiaTheme="minorHAnsi" w:cstheme="minorHAnsi"/>
                  <w:sz w:val="20"/>
                  <w:szCs w:val="20"/>
                </w:rPr>
                <w:t>https://bnfc.nice.org.uk/treatment-summaries/asthma-acute/</w:t>
              </w:r>
            </w:hyperlink>
            <w:r w:rsidRPr="00AA0CB0">
              <w:rPr>
                <w:rFonts w:eastAsiaTheme="minorHAnsi" w:cstheme="minorHAnsi"/>
                <w:color w:val="467887"/>
                <w:sz w:val="20"/>
                <w:szCs w:val="20"/>
              </w:rPr>
              <w:t xml:space="preserve"> </w:t>
            </w:r>
          </w:p>
        </w:tc>
      </w:tr>
      <w:tr w:rsidR="001C28C0" w:rsidRPr="00157170" w14:paraId="7E76B994" w14:textId="77777777" w:rsidTr="00157170">
        <w:trPr>
          <w:trHeight w:val="518"/>
        </w:trPr>
        <w:tc>
          <w:tcPr>
            <w:tcW w:w="1513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tcMar>
              <w:top w:w="113" w:type="dxa"/>
            </w:tcMar>
          </w:tcPr>
          <w:p w14:paraId="5A0E855D" w14:textId="175FE6C5" w:rsidR="001C28C0" w:rsidRPr="00157170" w:rsidRDefault="001C28C0" w:rsidP="00157170">
            <w:pPr>
              <w:pStyle w:val="Introparagraph"/>
              <w:spacing w:before="0" w:after="0"/>
              <w:rPr>
                <w:sz w:val="20"/>
                <w:szCs w:val="20"/>
              </w:rPr>
            </w:pPr>
            <w:r w:rsidRPr="00157170">
              <w:rPr>
                <w:sz w:val="20"/>
                <w:szCs w:val="20"/>
              </w:rPr>
              <w:t>N</w:t>
            </w:r>
            <w:r w:rsidR="00157170" w:rsidRPr="00157170">
              <w:rPr>
                <w:sz w:val="20"/>
                <w:szCs w:val="20"/>
              </w:rPr>
              <w:t>ICE</w:t>
            </w:r>
            <w:r w:rsidRPr="00157170">
              <w:rPr>
                <w:sz w:val="20"/>
                <w:szCs w:val="20"/>
              </w:rPr>
              <w:t xml:space="preserve"> Guidelines for sepsis</w:t>
            </w:r>
          </w:p>
          <w:p w14:paraId="74AF26F7" w14:textId="5F0B22B0" w:rsidR="001C28C0" w:rsidRPr="00157170" w:rsidRDefault="00157170" w:rsidP="00157170">
            <w:pPr>
              <w:pStyle w:val="Introparagraph"/>
              <w:spacing w:before="0" w:after="0"/>
              <w:rPr>
                <w:sz w:val="20"/>
                <w:szCs w:val="20"/>
              </w:rPr>
            </w:pPr>
            <w:hyperlink r:id="rId10" w:history="1">
              <w:r w:rsidRPr="00157170">
                <w:rPr>
                  <w:rStyle w:val="Hyperlink"/>
                  <w:sz w:val="20"/>
                  <w:szCs w:val="20"/>
                </w:rPr>
                <w:t>https://www.nice.org.uk/guidance/ng253</w:t>
              </w:r>
            </w:hyperlink>
            <w:r w:rsidRPr="00157170">
              <w:rPr>
                <w:sz w:val="20"/>
                <w:szCs w:val="20"/>
              </w:rPr>
              <w:t xml:space="preserve"> </w:t>
            </w:r>
          </w:p>
        </w:tc>
      </w:tr>
      <w:tr w:rsidR="00AA0CB0" w:rsidRPr="00157170" w14:paraId="547F6B47" w14:textId="77777777" w:rsidTr="00157170">
        <w:trPr>
          <w:trHeight w:val="518"/>
        </w:trPr>
        <w:tc>
          <w:tcPr>
            <w:tcW w:w="1513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tcMar>
              <w:top w:w="113" w:type="dxa"/>
            </w:tcMar>
          </w:tcPr>
          <w:p w14:paraId="76AFA7BD" w14:textId="61FA697C" w:rsidR="00AA0CB0" w:rsidRDefault="00AA0CB0" w:rsidP="00157170">
            <w:pPr>
              <w:pStyle w:val="Introparagraph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NICE Guidelines for bronchiolitis and croup</w:t>
            </w:r>
          </w:p>
          <w:p w14:paraId="59B3743F" w14:textId="41CDCC62" w:rsidR="00AA0CB0" w:rsidRPr="00AA0CB0" w:rsidRDefault="00AA0CB0" w:rsidP="00AA0C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color w:val="467887"/>
                <w:szCs w:val="18"/>
              </w:rPr>
            </w:pPr>
            <w:hyperlink r:id="rId11" w:history="1">
              <w:r w:rsidRPr="00AA0CB0">
                <w:rPr>
                  <w:rStyle w:val="Hyperlink"/>
                  <w:rFonts w:eastAsiaTheme="minorHAnsi" w:cstheme="minorHAnsi"/>
                  <w:sz w:val="20"/>
                  <w:szCs w:val="20"/>
                </w:rPr>
                <w:t>https://www.nice.org.uk/guidance/ng9</w:t>
              </w:r>
            </w:hyperlink>
            <w:r w:rsidRPr="00AA0CB0">
              <w:rPr>
                <w:rFonts w:eastAsiaTheme="minorHAnsi" w:cstheme="minorHAnsi"/>
                <w:color w:val="467887"/>
                <w:sz w:val="20"/>
                <w:szCs w:val="20"/>
              </w:rPr>
              <w:t xml:space="preserve"> </w:t>
            </w:r>
            <w:r>
              <w:rPr>
                <w:rFonts w:eastAsiaTheme="minorHAnsi" w:cstheme="minorHAnsi"/>
                <w:color w:val="467887"/>
                <w:sz w:val="20"/>
                <w:szCs w:val="20"/>
              </w:rPr>
              <w:t xml:space="preserve"> </w:t>
            </w:r>
            <w:hyperlink r:id="rId12" w:history="1">
              <w:r w:rsidRPr="00AA0CB0">
                <w:rPr>
                  <w:rStyle w:val="Hyperlink"/>
                  <w:rFonts w:eastAsiaTheme="minorHAnsi" w:cstheme="minorHAnsi"/>
                  <w:sz w:val="20"/>
                  <w:szCs w:val="20"/>
                </w:rPr>
                <w:t>https://cks.nice.org.uk/topics/croup/management/management/</w:t>
              </w:r>
            </w:hyperlink>
            <w:r>
              <w:rPr>
                <w:rFonts w:ascii="Times New Roman" w:eastAsiaTheme="minorHAnsi" w:hAnsi="Times New Roman" w:cs="Times New Roman"/>
                <w:i/>
                <w:iCs/>
                <w:color w:val="467887"/>
                <w:szCs w:val="18"/>
              </w:rPr>
              <w:t xml:space="preserve"> </w:t>
            </w:r>
          </w:p>
        </w:tc>
      </w:tr>
      <w:tr w:rsidR="001C28C0" w:rsidRPr="00157170" w14:paraId="0B2CEF06" w14:textId="77777777" w:rsidTr="00157170">
        <w:trPr>
          <w:trHeight w:val="514"/>
        </w:trPr>
        <w:tc>
          <w:tcPr>
            <w:tcW w:w="1513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tcMar>
              <w:top w:w="113" w:type="dxa"/>
            </w:tcMar>
          </w:tcPr>
          <w:p w14:paraId="73BDAE14" w14:textId="77777777" w:rsidR="001C28C0" w:rsidRPr="00157170" w:rsidRDefault="001C28C0" w:rsidP="00157170">
            <w:pPr>
              <w:pStyle w:val="Introparagraph"/>
              <w:spacing w:before="0" w:after="0"/>
              <w:rPr>
                <w:sz w:val="20"/>
                <w:szCs w:val="20"/>
              </w:rPr>
            </w:pPr>
            <w:r w:rsidRPr="00157170">
              <w:rPr>
                <w:sz w:val="20"/>
                <w:szCs w:val="20"/>
              </w:rPr>
              <w:t>NICE Guidelines for epilepsies in children, young, people, and adults</w:t>
            </w:r>
          </w:p>
          <w:p w14:paraId="270F25E1" w14:textId="4ECC1B8B" w:rsidR="001C28C0" w:rsidRPr="00157170" w:rsidRDefault="001C28C0" w:rsidP="00157170">
            <w:pPr>
              <w:spacing w:line="240" w:lineRule="auto"/>
              <w:rPr>
                <w:sz w:val="20"/>
                <w:szCs w:val="20"/>
              </w:rPr>
            </w:pPr>
            <w:hyperlink r:id="rId13" w:history="1">
              <w:r w:rsidRPr="00157170">
                <w:rPr>
                  <w:rStyle w:val="Hyperlink"/>
                  <w:sz w:val="20"/>
                  <w:szCs w:val="20"/>
                </w:rPr>
                <w:t>https://www.nice.org.uk/guidance/ng217</w:t>
              </w:r>
            </w:hyperlink>
          </w:p>
        </w:tc>
      </w:tr>
      <w:tr w:rsidR="00157170" w:rsidRPr="00157170" w14:paraId="11D45BB0" w14:textId="77777777" w:rsidTr="00157170">
        <w:trPr>
          <w:trHeight w:val="524"/>
        </w:trPr>
        <w:tc>
          <w:tcPr>
            <w:tcW w:w="1513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tcMar>
              <w:top w:w="113" w:type="dxa"/>
            </w:tcMar>
          </w:tcPr>
          <w:p w14:paraId="73576C1E" w14:textId="77777777" w:rsidR="00157170" w:rsidRPr="00157170" w:rsidRDefault="00157170" w:rsidP="00157170">
            <w:pPr>
              <w:pStyle w:val="Introparagraph"/>
              <w:spacing w:before="0" w:after="0"/>
              <w:rPr>
                <w:sz w:val="20"/>
                <w:szCs w:val="20"/>
              </w:rPr>
            </w:pPr>
            <w:r w:rsidRPr="00157170">
              <w:rPr>
                <w:sz w:val="20"/>
                <w:szCs w:val="20"/>
              </w:rPr>
              <w:t>RCUK Adult BLS</w:t>
            </w:r>
          </w:p>
          <w:p w14:paraId="03348B65" w14:textId="09D7DFD8" w:rsidR="00157170" w:rsidRPr="00157170" w:rsidRDefault="00157170" w:rsidP="00157170">
            <w:pPr>
              <w:pStyle w:val="Introparagraph"/>
              <w:spacing w:before="0" w:after="0"/>
              <w:rPr>
                <w:sz w:val="20"/>
                <w:szCs w:val="20"/>
              </w:rPr>
            </w:pPr>
            <w:hyperlink r:id="rId14" w:history="1">
              <w:r w:rsidRPr="00157170">
                <w:rPr>
                  <w:rStyle w:val="Hyperlink"/>
                  <w:sz w:val="20"/>
                  <w:szCs w:val="20"/>
                </w:rPr>
                <w:t>https://www.resus.org.uk/professional-library/2025-resuscitation-guidelines/adult-basic-life-support-guidelines</w:t>
              </w:r>
            </w:hyperlink>
            <w:r w:rsidRPr="00157170">
              <w:rPr>
                <w:sz w:val="20"/>
                <w:szCs w:val="20"/>
              </w:rPr>
              <w:t xml:space="preserve"> </w:t>
            </w:r>
          </w:p>
        </w:tc>
      </w:tr>
      <w:tr w:rsidR="00157170" w:rsidRPr="00157170" w14:paraId="3ABA0F8B" w14:textId="77777777" w:rsidTr="00157170">
        <w:trPr>
          <w:trHeight w:val="520"/>
        </w:trPr>
        <w:tc>
          <w:tcPr>
            <w:tcW w:w="15138" w:type="dxa"/>
            <w:tcBorders>
              <w:top w:val="single" w:sz="8" w:space="0" w:color="000000" w:themeColor="text1"/>
              <w:bottom w:val="single" w:sz="24" w:space="0" w:color="000000" w:themeColor="text1"/>
            </w:tcBorders>
            <w:tcMar>
              <w:top w:w="113" w:type="dxa"/>
            </w:tcMar>
          </w:tcPr>
          <w:p w14:paraId="02A8080D" w14:textId="77777777" w:rsidR="00157170" w:rsidRPr="00157170" w:rsidRDefault="00157170" w:rsidP="00157170">
            <w:pPr>
              <w:pStyle w:val="Introparagraph"/>
              <w:spacing w:before="0" w:after="0"/>
              <w:rPr>
                <w:sz w:val="20"/>
                <w:szCs w:val="20"/>
              </w:rPr>
            </w:pPr>
            <w:r w:rsidRPr="00157170">
              <w:rPr>
                <w:sz w:val="20"/>
                <w:szCs w:val="20"/>
              </w:rPr>
              <w:t>RCUK Paediatric BLS</w:t>
            </w:r>
          </w:p>
          <w:p w14:paraId="6FEB8E2C" w14:textId="586A3A82" w:rsidR="00157170" w:rsidRPr="00157170" w:rsidRDefault="00157170" w:rsidP="00157170">
            <w:pPr>
              <w:pStyle w:val="Introparagraph"/>
              <w:spacing w:before="0" w:after="0"/>
              <w:rPr>
                <w:sz w:val="20"/>
                <w:szCs w:val="20"/>
              </w:rPr>
            </w:pPr>
            <w:hyperlink r:id="rId15" w:history="1">
              <w:r w:rsidRPr="00157170">
                <w:rPr>
                  <w:rStyle w:val="Hyperlink"/>
                  <w:sz w:val="20"/>
                  <w:szCs w:val="20"/>
                </w:rPr>
                <w:t>https://www.resus.org.uk/professional-library/2025-resuscitation-guidelines/paediatric-basic-life-support-guidelines</w:t>
              </w:r>
            </w:hyperlink>
            <w:r w:rsidRPr="00157170">
              <w:rPr>
                <w:sz w:val="20"/>
                <w:szCs w:val="20"/>
              </w:rPr>
              <w:t xml:space="preserve"> </w:t>
            </w:r>
          </w:p>
        </w:tc>
      </w:tr>
    </w:tbl>
    <w:p w14:paraId="256F5289" w14:textId="57787832" w:rsidR="00B90417" w:rsidRPr="004D60BD" w:rsidRDefault="00B90417" w:rsidP="00F90DD5">
      <w:pPr>
        <w:pStyle w:val="Introparagraph"/>
      </w:pPr>
    </w:p>
    <w:sectPr w:rsidR="00B90417" w:rsidRPr="004D60BD" w:rsidSect="00C90ED4">
      <w:footerReference w:type="default" r:id="rId16"/>
      <w:pgSz w:w="16838" w:h="11906" w:orient="landscape"/>
      <w:pgMar w:top="567" w:right="851" w:bottom="567" w:left="851" w:header="182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8CB0" w14:textId="77777777" w:rsidR="00821DA0" w:rsidRDefault="00821DA0" w:rsidP="00F63D9B">
      <w:pPr>
        <w:spacing w:line="240" w:lineRule="auto"/>
      </w:pPr>
      <w:r>
        <w:separator/>
      </w:r>
    </w:p>
  </w:endnote>
  <w:endnote w:type="continuationSeparator" w:id="0">
    <w:p w14:paraId="1E4996B3" w14:textId="77777777" w:rsidR="00821DA0" w:rsidRDefault="00821DA0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19"/>
      <w:gridCol w:w="3507"/>
    </w:tblGrid>
    <w:tr w:rsidR="003B40D6" w:rsidRPr="0031522B" w14:paraId="1FA8DD69" w14:textId="77777777" w:rsidTr="00114701">
      <w:tc>
        <w:tcPr>
          <w:tcW w:w="11619" w:type="dxa"/>
        </w:tcPr>
        <w:p w14:paraId="4F91B8DC" w14:textId="77777777" w:rsidR="003B40D6" w:rsidRPr="0031522B" w:rsidRDefault="003B40D6" w:rsidP="003B40D6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246DB441" w14:textId="46E75534" w:rsidR="004D60BD" w:rsidRPr="00745DB7" w:rsidRDefault="004D60BD" w:rsidP="004D60BD">
          <w:pPr>
            <w:jc w:val="right"/>
            <w:rPr>
              <w:b/>
              <w:bCs/>
              <w:color w:val="BFBFBF" w:themeColor="background1" w:themeShade="BF"/>
              <w:sz w:val="24"/>
            </w:rPr>
          </w:pPr>
          <w:r>
            <w:rPr>
              <w:b/>
              <w:bCs/>
              <w:color w:val="BFBFBF" w:themeColor="background1" w:themeShade="BF"/>
              <w:sz w:val="24"/>
            </w:rPr>
            <w:t>4</w:t>
          </w:r>
          <w:r w:rsidR="003B40D6" w:rsidRPr="0031522B">
            <w:rPr>
              <w:b/>
              <w:bCs/>
              <w:color w:val="BFBFBF" w:themeColor="background1" w:themeShade="BF"/>
              <w:sz w:val="24"/>
            </w:rPr>
            <w:t>-</w:t>
          </w:r>
          <w:r w:rsidR="001C28C0">
            <w:rPr>
              <w:b/>
              <w:bCs/>
              <w:color w:val="BFBFBF" w:themeColor="background1" w:themeShade="BF"/>
              <w:sz w:val="24"/>
            </w:rPr>
            <w:t>5</w:t>
          </w:r>
        </w:p>
      </w:tc>
    </w:tr>
  </w:tbl>
  <w:p w14:paraId="78AB2F28" w14:textId="77777777" w:rsidR="003B40D6" w:rsidRPr="003B40D6" w:rsidRDefault="003B40D6" w:rsidP="003B4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0FE8" w14:textId="77777777" w:rsidR="00821DA0" w:rsidRDefault="00821DA0" w:rsidP="00F63D9B">
      <w:pPr>
        <w:spacing w:line="240" w:lineRule="auto"/>
      </w:pPr>
      <w:r>
        <w:separator/>
      </w:r>
    </w:p>
  </w:footnote>
  <w:footnote w:type="continuationSeparator" w:id="0">
    <w:p w14:paraId="04F26F01" w14:textId="77777777" w:rsidR="00821DA0" w:rsidRDefault="00821DA0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AB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4D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45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8C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E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86E11"/>
    <w:multiLevelType w:val="hybridMultilevel"/>
    <w:tmpl w:val="84BA3E64"/>
    <w:lvl w:ilvl="0" w:tplc="05608F9A">
      <w:start w:val="1"/>
      <w:numFmt w:val="bullet"/>
      <w:pStyle w:val="ListParagraph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21E361B"/>
    <w:multiLevelType w:val="hybridMultilevel"/>
    <w:tmpl w:val="925436D0"/>
    <w:lvl w:ilvl="0" w:tplc="46CA461E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151DE"/>
    <w:multiLevelType w:val="hybridMultilevel"/>
    <w:tmpl w:val="4FE2E792"/>
    <w:lvl w:ilvl="0" w:tplc="9274D76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82197"/>
    <w:multiLevelType w:val="hybridMultilevel"/>
    <w:tmpl w:val="4772456A"/>
    <w:lvl w:ilvl="0" w:tplc="53C63A16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4310">
    <w:abstractNumId w:val="10"/>
  </w:num>
  <w:num w:numId="2" w16cid:durableId="1540118519">
    <w:abstractNumId w:val="14"/>
  </w:num>
  <w:num w:numId="3" w16cid:durableId="1721662286">
    <w:abstractNumId w:val="18"/>
  </w:num>
  <w:num w:numId="4" w16cid:durableId="938948988">
    <w:abstractNumId w:val="21"/>
  </w:num>
  <w:num w:numId="5" w16cid:durableId="413013910">
    <w:abstractNumId w:val="0"/>
  </w:num>
  <w:num w:numId="6" w16cid:durableId="660616592">
    <w:abstractNumId w:val="1"/>
  </w:num>
  <w:num w:numId="7" w16cid:durableId="479882215">
    <w:abstractNumId w:val="2"/>
  </w:num>
  <w:num w:numId="8" w16cid:durableId="765148417">
    <w:abstractNumId w:val="3"/>
  </w:num>
  <w:num w:numId="9" w16cid:durableId="332994492">
    <w:abstractNumId w:val="8"/>
  </w:num>
  <w:num w:numId="10" w16cid:durableId="720791079">
    <w:abstractNumId w:val="4"/>
  </w:num>
  <w:num w:numId="11" w16cid:durableId="313603515">
    <w:abstractNumId w:val="5"/>
  </w:num>
  <w:num w:numId="12" w16cid:durableId="665136637">
    <w:abstractNumId w:val="6"/>
  </w:num>
  <w:num w:numId="13" w16cid:durableId="40180008">
    <w:abstractNumId w:val="7"/>
  </w:num>
  <w:num w:numId="14" w16cid:durableId="673338382">
    <w:abstractNumId w:val="9"/>
  </w:num>
  <w:num w:numId="15" w16cid:durableId="1513452035">
    <w:abstractNumId w:val="22"/>
  </w:num>
  <w:num w:numId="16" w16cid:durableId="677929403">
    <w:abstractNumId w:val="17"/>
  </w:num>
  <w:num w:numId="17" w16cid:durableId="153228593">
    <w:abstractNumId w:val="11"/>
  </w:num>
  <w:num w:numId="18" w16cid:durableId="878973181">
    <w:abstractNumId w:val="24"/>
  </w:num>
  <w:num w:numId="19" w16cid:durableId="1891719661">
    <w:abstractNumId w:val="20"/>
  </w:num>
  <w:num w:numId="20" w16cid:durableId="423575570">
    <w:abstractNumId w:val="12"/>
  </w:num>
  <w:num w:numId="21" w16cid:durableId="1785073436">
    <w:abstractNumId w:val="16"/>
  </w:num>
  <w:num w:numId="22" w16cid:durableId="2060547656">
    <w:abstractNumId w:val="13"/>
  </w:num>
  <w:num w:numId="23" w16cid:durableId="1269923040">
    <w:abstractNumId w:val="19"/>
  </w:num>
  <w:num w:numId="24" w16cid:durableId="511067845">
    <w:abstractNumId w:val="15"/>
  </w:num>
  <w:num w:numId="25" w16cid:durableId="9854714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113FE"/>
    <w:rsid w:val="0001619C"/>
    <w:rsid w:val="0004595D"/>
    <w:rsid w:val="00054DF2"/>
    <w:rsid w:val="00056ADA"/>
    <w:rsid w:val="00075981"/>
    <w:rsid w:val="000939F9"/>
    <w:rsid w:val="000E33FB"/>
    <w:rsid w:val="00157170"/>
    <w:rsid w:val="00190124"/>
    <w:rsid w:val="0019025E"/>
    <w:rsid w:val="0019042D"/>
    <w:rsid w:val="001A7986"/>
    <w:rsid w:val="001C28C0"/>
    <w:rsid w:val="001D006F"/>
    <w:rsid w:val="001F3F51"/>
    <w:rsid w:val="00211B32"/>
    <w:rsid w:val="00217EF8"/>
    <w:rsid w:val="0022564D"/>
    <w:rsid w:val="002A4694"/>
    <w:rsid w:val="002A76E1"/>
    <w:rsid w:val="002C17F6"/>
    <w:rsid w:val="002D68F9"/>
    <w:rsid w:val="003035A6"/>
    <w:rsid w:val="00305EA3"/>
    <w:rsid w:val="00342562"/>
    <w:rsid w:val="00344304"/>
    <w:rsid w:val="00344EC4"/>
    <w:rsid w:val="00362CA6"/>
    <w:rsid w:val="00374DA1"/>
    <w:rsid w:val="003A26AB"/>
    <w:rsid w:val="003B40D6"/>
    <w:rsid w:val="003B51D9"/>
    <w:rsid w:val="003B7A0F"/>
    <w:rsid w:val="003F27F8"/>
    <w:rsid w:val="00406A43"/>
    <w:rsid w:val="00417855"/>
    <w:rsid w:val="00440F75"/>
    <w:rsid w:val="004D45A2"/>
    <w:rsid w:val="004D60BD"/>
    <w:rsid w:val="005046A2"/>
    <w:rsid w:val="00564850"/>
    <w:rsid w:val="0057047A"/>
    <w:rsid w:val="005833E1"/>
    <w:rsid w:val="00594881"/>
    <w:rsid w:val="00594E76"/>
    <w:rsid w:val="005B37B9"/>
    <w:rsid w:val="00665153"/>
    <w:rsid w:val="006671E6"/>
    <w:rsid w:val="006A05EC"/>
    <w:rsid w:val="00740FBD"/>
    <w:rsid w:val="00760991"/>
    <w:rsid w:val="007A490D"/>
    <w:rsid w:val="007E6773"/>
    <w:rsid w:val="00806B58"/>
    <w:rsid w:val="00813630"/>
    <w:rsid w:val="008164BB"/>
    <w:rsid w:val="00821DA0"/>
    <w:rsid w:val="00865A3F"/>
    <w:rsid w:val="00882782"/>
    <w:rsid w:val="008B2774"/>
    <w:rsid w:val="008B4108"/>
    <w:rsid w:val="00900E40"/>
    <w:rsid w:val="00934663"/>
    <w:rsid w:val="00935A58"/>
    <w:rsid w:val="00963997"/>
    <w:rsid w:val="009C6436"/>
    <w:rsid w:val="009D341F"/>
    <w:rsid w:val="00A20397"/>
    <w:rsid w:val="00A338C6"/>
    <w:rsid w:val="00A5416A"/>
    <w:rsid w:val="00A75402"/>
    <w:rsid w:val="00AA0CB0"/>
    <w:rsid w:val="00AA3C61"/>
    <w:rsid w:val="00AC1D80"/>
    <w:rsid w:val="00AD0313"/>
    <w:rsid w:val="00B51F22"/>
    <w:rsid w:val="00B52FD0"/>
    <w:rsid w:val="00B90417"/>
    <w:rsid w:val="00BA3AD8"/>
    <w:rsid w:val="00BC31AC"/>
    <w:rsid w:val="00BD170B"/>
    <w:rsid w:val="00BE1681"/>
    <w:rsid w:val="00C441E2"/>
    <w:rsid w:val="00C44363"/>
    <w:rsid w:val="00C769E7"/>
    <w:rsid w:val="00C87B71"/>
    <w:rsid w:val="00C90ED4"/>
    <w:rsid w:val="00C920D4"/>
    <w:rsid w:val="00C93831"/>
    <w:rsid w:val="00C97542"/>
    <w:rsid w:val="00CC5A78"/>
    <w:rsid w:val="00CD29AD"/>
    <w:rsid w:val="00CD467B"/>
    <w:rsid w:val="00CF7456"/>
    <w:rsid w:val="00D15B0C"/>
    <w:rsid w:val="00D254D1"/>
    <w:rsid w:val="00D41CC2"/>
    <w:rsid w:val="00D62D1F"/>
    <w:rsid w:val="00D71127"/>
    <w:rsid w:val="00DC7322"/>
    <w:rsid w:val="00DE16B0"/>
    <w:rsid w:val="00E073A3"/>
    <w:rsid w:val="00E2743C"/>
    <w:rsid w:val="00E323D6"/>
    <w:rsid w:val="00E41D51"/>
    <w:rsid w:val="00E9354B"/>
    <w:rsid w:val="00EE1A28"/>
    <w:rsid w:val="00F059A9"/>
    <w:rsid w:val="00F357DF"/>
    <w:rsid w:val="00F63D9B"/>
    <w:rsid w:val="00F66032"/>
    <w:rsid w:val="00F84AC0"/>
    <w:rsid w:val="00F90DD5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0D4"/>
    <w:pPr>
      <w:spacing w:after="120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5416A"/>
    <w:pPr>
      <w:numPr>
        <w:numId w:val="23"/>
      </w:numPr>
      <w:ind w:left="227" w:hanging="227"/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108"/>
    <w:pPr>
      <w:numPr>
        <w:numId w:val="2"/>
      </w:numPr>
      <w:ind w:left="454" w:hanging="227"/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20D4"/>
    <w:rPr>
      <w:rFonts w:eastAsiaTheme="minorEastAsia" w:cs="Times New Roman (Body CS)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90DD5"/>
    <w:rPr>
      <w:b/>
      <w:bCs/>
      <w:sz w:val="44"/>
      <w:szCs w:val="44"/>
    </w:rPr>
  </w:style>
  <w:style w:type="paragraph" w:customStyle="1" w:styleId="Introparagraph">
    <w:name w:val="Intro paragraph"/>
    <w:basedOn w:val="Normal"/>
    <w:qFormat/>
    <w:rsid w:val="00F90DD5"/>
    <w:pPr>
      <w:spacing w:before="120" w:after="120" w:line="240" w:lineRule="auto"/>
      <w:ind w:right="3226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F90DD5"/>
    <w:rPr>
      <w:rFonts w:eastAsiaTheme="minorEastAsia" w:cs="Times New Roman (Body CS)"/>
      <w:b/>
      <w:bCs/>
      <w:sz w:val="44"/>
      <w:szCs w:val="44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after="0"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E323D6"/>
    <w:pPr>
      <w:numPr>
        <w:numId w:val="24"/>
      </w:numPr>
    </w:pPr>
  </w:style>
  <w:style w:type="paragraph" w:customStyle="1" w:styleId="Boxbulletlist2">
    <w:name w:val="Box bullet list 2"/>
    <w:basedOn w:val="ListParagraph"/>
    <w:qFormat/>
    <w:rsid w:val="00E323D6"/>
    <w:pPr>
      <w:numPr>
        <w:numId w:val="25"/>
      </w:numPr>
    </w:pPr>
  </w:style>
  <w:style w:type="paragraph" w:customStyle="1" w:styleId="Sectionreference">
    <w:name w:val="Section reference"/>
    <w:basedOn w:val="Normal"/>
    <w:qFormat/>
    <w:rsid w:val="00F90DD5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57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ourwork/clinical-policy/sepsis/nationalearlywarningscore/" TargetMode="External"/><Relationship Id="rId13" Type="http://schemas.openxmlformats.org/officeDocument/2006/relationships/hyperlink" Target="https://www.nice.org.uk/guidance/ng21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ngland.nhs.uk/publication/national-pews-observation-and-escalation-charts/" TargetMode="External"/><Relationship Id="rId12" Type="http://schemas.openxmlformats.org/officeDocument/2006/relationships/hyperlink" Target="https://cks.nice.org.uk/topics/croup/management/managemen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ng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sus.org.uk/professional-library/2025-resuscitation-guidelines/paediatric-basic-life-support-guidelines" TargetMode="External"/><Relationship Id="rId10" Type="http://schemas.openxmlformats.org/officeDocument/2006/relationships/hyperlink" Target="https://www.nice.org.uk/guidance/ng2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nfc.nice.org.uk/treatment-summaries/asthma-acute/" TargetMode="External"/><Relationship Id="rId14" Type="http://schemas.openxmlformats.org/officeDocument/2006/relationships/hyperlink" Target="https://www.resus.org.uk/professional-library/2025-resuscitation-guidelines/adult-basic-life-support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Helen Higham</cp:lastModifiedBy>
  <cp:revision>26</cp:revision>
  <cp:lastPrinted>2024-11-06T19:09:00Z</cp:lastPrinted>
  <dcterms:created xsi:type="dcterms:W3CDTF">2022-11-29T14:50:00Z</dcterms:created>
  <dcterms:modified xsi:type="dcterms:W3CDTF">2025-11-27T15:35:00Z</dcterms:modified>
</cp:coreProperties>
</file>