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4B0A9C" w:rsidRPr="007E5135" w14:paraId="42CE7157" w14:textId="77777777" w:rsidTr="004B0A9C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14:paraId="1D6C98D2" w14:textId="03162F9C" w:rsidR="004B0A9C" w:rsidRPr="007E5135" w:rsidRDefault="004B0A9C" w:rsidP="001332D8">
            <w:pPr>
              <w:pStyle w:val="Sectionreference"/>
            </w:pPr>
            <w:r>
              <w:t>3-14</w:t>
            </w:r>
          </w:p>
        </w:tc>
        <w:tc>
          <w:tcPr>
            <w:tcW w:w="1418" w:type="dxa"/>
            <w:tcBorders>
              <w:top w:val="single" w:sz="24" w:space="0" w:color="A8D08D" w:themeColor="accent6" w:themeTint="99"/>
              <w:bottom w:val="nil"/>
            </w:tcBorders>
            <w:shd w:val="clear" w:color="auto" w:fill="C5E0B3" w:themeFill="accent6" w:themeFillTint="66"/>
            <w:vAlign w:val="center"/>
          </w:tcPr>
          <w:p w14:paraId="6A2F69FB" w14:textId="77777777" w:rsidR="004B0A9C" w:rsidRPr="007E5135" w:rsidRDefault="004B0A9C" w:rsidP="001332D8">
            <w:pPr>
              <w:pStyle w:val="child"/>
            </w:pPr>
            <w:r w:rsidRPr="00084E5C">
              <w:t>Child</w:t>
            </w:r>
          </w:p>
        </w:tc>
        <w:tc>
          <w:tcPr>
            <w:tcW w:w="11169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3801BD24" w14:textId="48A1DB3C" w:rsidR="004B0A9C" w:rsidRPr="007E5135" w:rsidRDefault="009E1A67" w:rsidP="001332D8">
            <w:pPr>
              <w:pStyle w:val="Title"/>
            </w:pPr>
            <w:r w:rsidRPr="009E1A67">
              <w:t>Fit/status epilepticus</w:t>
            </w:r>
          </w:p>
        </w:tc>
        <w:tc>
          <w:tcPr>
            <w:tcW w:w="1531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6B554F41" w14:textId="4DF98F9D" w:rsidR="004B0A9C" w:rsidRPr="00877BDD" w:rsidRDefault="00877BDD" w:rsidP="00877BDD">
            <w:pPr>
              <w:pStyle w:val="referencedata"/>
            </w:pPr>
            <w:r w:rsidRPr="00877BDD">
              <w:t>Version V1.0</w:t>
            </w:r>
            <w:r>
              <w:br/>
            </w:r>
            <w:r w:rsidR="00056B56"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4B0A9C" w:rsidRPr="007E5135" w14:paraId="781712F2" w14:textId="77777777" w:rsidTr="001332D8">
        <w:tc>
          <w:tcPr>
            <w:tcW w:w="15139" w:type="dxa"/>
            <w:gridSpan w:val="4"/>
            <w:vAlign w:val="center"/>
          </w:tcPr>
          <w:p w14:paraId="04DEF2D9" w14:textId="7310D4AC" w:rsidR="004B0A9C" w:rsidRPr="004B0A9C" w:rsidRDefault="004B0A9C" w:rsidP="004B0A9C">
            <w:pPr>
              <w:pStyle w:val="Introparagraph"/>
            </w:pPr>
            <w:r w:rsidRPr="002600D0">
              <w:t>Tonic</w:t>
            </w:r>
            <w:r w:rsidRPr="00E40B12">
              <w:t>-clonic seizure in child, lasting more than 5 mins or more than 3 seizures in 1 hour.</w:t>
            </w:r>
          </w:p>
        </w:tc>
      </w:tr>
    </w:tbl>
    <w:p w14:paraId="34AE4A7E" w14:textId="77777777" w:rsidR="004B0A9C" w:rsidRDefault="004B0A9C" w:rsidP="008B2774">
      <w:pPr>
        <w:rPr>
          <w:sz w:val="8"/>
          <w:szCs w:val="8"/>
        </w:rPr>
      </w:pPr>
    </w:p>
    <w:p w14:paraId="37BC7599" w14:textId="77777777" w:rsidR="004B0A9C" w:rsidRPr="004B0A9C" w:rsidRDefault="004B0A9C" w:rsidP="008B2774">
      <w:pPr>
        <w:rPr>
          <w:sz w:val="8"/>
          <w:szCs w:val="8"/>
        </w:rPr>
        <w:sectPr w:rsidR="004B0A9C" w:rsidRPr="004B0A9C" w:rsidSect="00035FF6">
          <w:footerReference w:type="default" r:id="rId7"/>
          <w:type w:val="continuous"/>
          <w:pgSz w:w="16838" w:h="11906" w:orient="landscape"/>
          <w:pgMar w:top="567" w:right="851" w:bottom="567" w:left="851" w:header="709" w:footer="38" w:gutter="0"/>
          <w:cols w:space="708"/>
          <w:docGrid w:linePitch="360"/>
        </w:sectPr>
      </w:pPr>
    </w:p>
    <w:p w14:paraId="53F85083" w14:textId="38AD0E3A" w:rsidR="00362CA6" w:rsidRPr="00594E76" w:rsidRDefault="004B0A9C" w:rsidP="004B0A9C">
      <w:pPr>
        <w:pStyle w:val="Heading1"/>
      </w:pPr>
      <w:r w:rsidRPr="00CF7456">
        <w:t>Checklist</w:t>
      </w:r>
      <w:r w:rsidR="00362CA6">
        <w:t xml:space="preserve"> </w:t>
      </w:r>
      <w:r w:rsidRPr="00CF7456">
        <w:t>start</w:t>
      </w:r>
    </w:p>
    <w:p w14:paraId="78181E3C" w14:textId="77777777" w:rsidR="00E40B12" w:rsidRPr="00E40B12" w:rsidRDefault="00E40B12" w:rsidP="002600D0">
      <w:pPr>
        <w:pStyle w:val="Heading3"/>
      </w:pPr>
      <w:r w:rsidRPr="00E40B12">
        <w:t xml:space="preserve">Call for help and request oxygen cylinder </w:t>
      </w:r>
      <w:r w:rsidRPr="002600D0">
        <w:t>and</w:t>
      </w:r>
      <w:r w:rsidRPr="00E40B12">
        <w:t xml:space="preserve"> emergency equipment</w:t>
      </w:r>
    </w:p>
    <w:p w14:paraId="504CD89C" w14:textId="386A3DC1" w:rsidR="00E40B12" w:rsidRPr="00E40B12" w:rsidRDefault="00E40B12" w:rsidP="002600D0">
      <w:pPr>
        <w:pStyle w:val="ListParagraph"/>
      </w:pPr>
      <w:r w:rsidRPr="00E40B12">
        <w:t>Call for blue-light ambulance and state</w:t>
      </w:r>
      <w:r w:rsidR="00FE4E71">
        <w:t>,</w:t>
      </w:r>
      <w:r w:rsidRPr="00E40B12">
        <w:t xml:space="preserve"> “child with prolonged seizure”</w:t>
      </w:r>
    </w:p>
    <w:p w14:paraId="2F1EB968" w14:textId="08FBBF15" w:rsidR="00E40B12" w:rsidRPr="00E40B12" w:rsidRDefault="00E40B12" w:rsidP="002600D0">
      <w:pPr>
        <w:pStyle w:val="ListParagraph"/>
      </w:pPr>
      <w:r w:rsidRPr="00E40B12">
        <w:t>Ensure child is safe – protect from injury and cushion their head</w:t>
      </w:r>
    </w:p>
    <w:p w14:paraId="48BB915D" w14:textId="77777777" w:rsidR="00E40B12" w:rsidRPr="00E40B12" w:rsidRDefault="00E40B12" w:rsidP="002600D0">
      <w:pPr>
        <w:pStyle w:val="ListParagraph"/>
      </w:pPr>
      <w:r w:rsidRPr="00E40B12">
        <w:t>Note time</w:t>
      </w:r>
    </w:p>
    <w:p w14:paraId="32A2E2D0" w14:textId="77777777" w:rsidR="00E40B12" w:rsidRPr="00E40B12" w:rsidRDefault="00E40B12" w:rsidP="00E40B12">
      <w:pPr>
        <w:pStyle w:val="Heading3"/>
      </w:pPr>
      <w:r w:rsidRPr="00E40B12">
        <w:t>Check blood sugar</w:t>
      </w:r>
    </w:p>
    <w:p w14:paraId="2DE42699" w14:textId="0CD88E3F" w:rsidR="00E40B12" w:rsidRPr="00E40B12" w:rsidRDefault="00E40B12" w:rsidP="002600D0">
      <w:pPr>
        <w:pStyle w:val="ListParagraph"/>
      </w:pPr>
      <w:r w:rsidRPr="00E40B12">
        <w:t xml:space="preserve">If blood sugar less than 4mmol/L give glucose or glucagon </w:t>
      </w:r>
      <w:r w:rsidRPr="00E40B12">
        <w:sym w:font="Wingdings" w:char="F0E8"/>
      </w:r>
      <w:r w:rsidRPr="00E40B12">
        <w:t xml:space="preserve"> </w:t>
      </w:r>
      <w:r w:rsidRPr="00F0396E">
        <w:rPr>
          <w:rStyle w:val="Externaldocumentreference"/>
        </w:rPr>
        <w:t>BOX A</w:t>
      </w:r>
    </w:p>
    <w:p w14:paraId="39A44B5B" w14:textId="5010DDB7" w:rsidR="00E40B12" w:rsidRPr="00E40B12" w:rsidRDefault="00E40B12" w:rsidP="00E40B12">
      <w:pPr>
        <w:pStyle w:val="Heading3"/>
      </w:pPr>
      <w:r w:rsidRPr="00E40B12">
        <w:t xml:space="preserve">Give benzodiazepine </w:t>
      </w:r>
      <w:r w:rsidR="008C6B55" w:rsidRPr="00E40B12">
        <w:sym w:font="Wingdings" w:char="F0E8"/>
      </w:r>
      <w:r w:rsidR="008C6B55" w:rsidRPr="00E40B12">
        <w:t xml:space="preserve"> </w:t>
      </w:r>
      <w:r w:rsidR="008C6B55" w:rsidRPr="008C6B55">
        <w:rPr>
          <w:rStyle w:val="Externaldocumentreference"/>
          <w:b/>
          <w:bCs w:val="0"/>
        </w:rPr>
        <w:t>BOX A</w:t>
      </w:r>
    </w:p>
    <w:p w14:paraId="24E52637" w14:textId="77777777" w:rsidR="00E40B12" w:rsidRPr="00E40B12" w:rsidRDefault="00E40B12" w:rsidP="00E40B12">
      <w:pPr>
        <w:pStyle w:val="Heading3"/>
      </w:pPr>
      <w:r w:rsidRPr="00E40B12">
        <w:t>Put in recovery position and keep airway open</w:t>
      </w:r>
    </w:p>
    <w:p w14:paraId="55F0E931" w14:textId="681D2710" w:rsidR="00E534B6" w:rsidRPr="00E534B6" w:rsidRDefault="00E534B6" w:rsidP="0072110A">
      <w:pPr>
        <w:pStyle w:val="Heading3"/>
        <w:rPr>
          <w:rFonts w:eastAsiaTheme="minorHAnsi"/>
        </w:rPr>
      </w:pPr>
      <w:r w:rsidRPr="00E534B6">
        <w:rPr>
          <w:rFonts w:eastAsiaTheme="minorHAnsi"/>
        </w:rPr>
        <w:t>Attach paediatric pulse oximeter</w:t>
      </w:r>
    </w:p>
    <w:p w14:paraId="38210015" w14:textId="74554355" w:rsidR="00E40B12" w:rsidRPr="00E40B12" w:rsidRDefault="00E534B6" w:rsidP="00E534B6">
      <w:pPr>
        <w:pStyle w:val="ListParagraph"/>
      </w:pPr>
      <w:r>
        <w:rPr>
          <w:rFonts w:eastAsiaTheme="minorHAnsi"/>
        </w:rPr>
        <w:t>Give Oxygen if SpO</w:t>
      </w:r>
      <w:r w:rsidRPr="00E534B6">
        <w:rPr>
          <w:rFonts w:eastAsiaTheme="minorHAnsi"/>
          <w:vertAlign w:val="subscript"/>
        </w:rPr>
        <w:t>2</w:t>
      </w:r>
      <w:r>
        <w:rPr>
          <w:rFonts w:eastAsiaTheme="minorHAnsi"/>
        </w:rPr>
        <w:t xml:space="preserve"> less than 92% </w:t>
      </w:r>
      <w:r w:rsidR="008C6B55" w:rsidRPr="00E40B12">
        <w:sym w:font="Wingdings" w:char="F0E8"/>
      </w:r>
      <w:r w:rsidR="008C6B55" w:rsidRPr="00E40B12">
        <w:t xml:space="preserve"> </w:t>
      </w:r>
      <w:r w:rsidR="008C6B55" w:rsidRPr="00E534B6">
        <w:rPr>
          <w:rStyle w:val="Externaldocumentreference"/>
        </w:rPr>
        <w:t>BOX A</w:t>
      </w:r>
    </w:p>
    <w:p w14:paraId="32EEB8AC" w14:textId="1807D1DD" w:rsidR="00E40B12" w:rsidRPr="00E40B12" w:rsidRDefault="00E40B12" w:rsidP="00E40B12">
      <w:pPr>
        <w:pStyle w:val="Heading3"/>
      </w:pPr>
      <w:r w:rsidRPr="00E40B12">
        <w:t xml:space="preserve">Consider other causes </w:t>
      </w:r>
      <w:r w:rsidR="008C6B55" w:rsidRPr="00E40B12">
        <w:sym w:font="Wingdings" w:char="F0E8"/>
      </w:r>
      <w:r w:rsidR="008C6B55" w:rsidRPr="00E40B12">
        <w:t xml:space="preserve"> </w:t>
      </w:r>
      <w:r w:rsidR="008C6B55" w:rsidRPr="008C6B55">
        <w:rPr>
          <w:rStyle w:val="Externaldocumentreference"/>
          <w:b/>
          <w:bCs w:val="0"/>
        </w:rPr>
        <w:t xml:space="preserve">BOX </w:t>
      </w:r>
      <w:r w:rsidR="008C6B55">
        <w:rPr>
          <w:rStyle w:val="Externaldocumentreference"/>
          <w:b/>
          <w:bCs w:val="0"/>
        </w:rPr>
        <w:t>C</w:t>
      </w:r>
    </w:p>
    <w:p w14:paraId="326C51AC" w14:textId="77777777" w:rsidR="00E40B12" w:rsidRPr="00E40B12" w:rsidRDefault="00E40B12" w:rsidP="00E40B12">
      <w:pPr>
        <w:pStyle w:val="Heading3"/>
      </w:pPr>
      <w:r w:rsidRPr="00E40B12">
        <w:t>Check for improvement</w:t>
      </w:r>
    </w:p>
    <w:p w14:paraId="008610B3" w14:textId="700AC8E4" w:rsidR="00E40B12" w:rsidRPr="00E40B12" w:rsidRDefault="00E40B12" w:rsidP="002600D0">
      <w:pPr>
        <w:pStyle w:val="ListParagraph"/>
      </w:pPr>
      <w:r w:rsidRPr="00E40B12">
        <w:t xml:space="preserve">If no improvement </w:t>
      </w:r>
      <w:r w:rsidRPr="00E40B12">
        <w:sym w:font="Wingdings" w:char="F0E8"/>
      </w:r>
      <w:r w:rsidRPr="00E40B12">
        <w:t xml:space="preserve"> </w:t>
      </w:r>
      <w:r w:rsidRPr="00E40B12">
        <w:rPr>
          <w:rStyle w:val="Externaldocumentreference"/>
        </w:rPr>
        <w:t>consider second dose of benzodiazepine and</w:t>
      </w:r>
      <w:r w:rsidRPr="00E40B12">
        <w:t xml:space="preserve"> </w:t>
      </w:r>
      <w:r w:rsidRPr="00E40B12">
        <w:sym w:font="Wingdings" w:char="F0E8"/>
      </w:r>
      <w:r w:rsidRPr="00E40B12">
        <w:t xml:space="preserve"> </w:t>
      </w:r>
      <w:r w:rsidRPr="00E40B12">
        <w:rPr>
          <w:rStyle w:val="Externaldocumentreference"/>
        </w:rPr>
        <w:t xml:space="preserve">2-1 </w:t>
      </w:r>
      <w:r w:rsidR="009450EB">
        <w:rPr>
          <w:rStyle w:val="Externaldocumentreference"/>
        </w:rPr>
        <w:t>Key basic plan</w:t>
      </w:r>
      <w:r w:rsidRPr="00E40B12">
        <w:t xml:space="preserve"> </w:t>
      </w:r>
    </w:p>
    <w:p w14:paraId="323B5501" w14:textId="77777777" w:rsidR="00E40B12" w:rsidRPr="00E40B12" w:rsidRDefault="00E40B12" w:rsidP="002600D0">
      <w:pPr>
        <w:pStyle w:val="ListParagraph"/>
      </w:pPr>
      <w:r w:rsidRPr="00E40B12">
        <w:t>If fit ends, check vital signs</w:t>
      </w:r>
    </w:p>
    <w:p w14:paraId="2938E720" w14:textId="77777777" w:rsidR="00E40B12" w:rsidRPr="00E40B12" w:rsidRDefault="00E40B12" w:rsidP="002600D0">
      <w:pPr>
        <w:pStyle w:val="ListParagraph"/>
      </w:pPr>
      <w:r w:rsidRPr="00E40B12">
        <w:t>Update ambulance if necessary</w:t>
      </w:r>
    </w:p>
    <w:p w14:paraId="45DB7FDA" w14:textId="77777777" w:rsidR="00E40B12" w:rsidRPr="00E40B12" w:rsidRDefault="00E40B12" w:rsidP="00E40B12">
      <w:pPr>
        <w:pStyle w:val="Heading3"/>
      </w:pPr>
      <w:r w:rsidRPr="00E40B12">
        <w:t xml:space="preserve">Prepare SBAR handover/referral letter for paramedics </w:t>
      </w:r>
    </w:p>
    <w:p w14:paraId="10C4A378" w14:textId="77777777" w:rsidR="00E40B12" w:rsidRPr="00E40B12" w:rsidRDefault="00E40B12" w:rsidP="00E40B12">
      <w:pPr>
        <w:pStyle w:val="Heading3"/>
      </w:pPr>
      <w:r w:rsidRPr="00E40B12">
        <w:t>Call next of kin</w:t>
      </w:r>
    </w:p>
    <w:p w14:paraId="0310BCB9" w14:textId="5913E38F" w:rsidR="00362CA6" w:rsidRPr="004B0A9C" w:rsidRDefault="00362CA6" w:rsidP="0049408D">
      <w:pPr>
        <w:pStyle w:val="Heading1"/>
        <w:spacing w:line="276" w:lineRule="auto"/>
      </w:pPr>
      <w:r>
        <w:br w:type="column"/>
      </w:r>
      <w:r w:rsidR="004B0A9C" w:rsidRPr="004B0A9C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015A9168" w14:textId="77777777" w:rsidTr="004B0A9C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3424C306" w14:textId="77777777" w:rsidR="00362CA6" w:rsidRPr="00594881" w:rsidRDefault="00362CA6" w:rsidP="004B0A9C">
            <w:pPr>
              <w:pStyle w:val="boxheaderwhite"/>
            </w:pPr>
            <w:r w:rsidRPr="00D64E8C">
              <w:t>BOX A: drug doses and treatments</w:t>
            </w:r>
          </w:p>
        </w:tc>
      </w:tr>
      <w:tr w:rsidR="00362CA6" w:rsidRPr="009E1A67" w14:paraId="05CC4B36" w14:textId="77777777" w:rsidTr="004B0A9C">
        <w:tc>
          <w:tcPr>
            <w:tcW w:w="7154" w:type="dxa"/>
            <w:tcBorders>
              <w:top w:val="nil"/>
            </w:tcBorders>
            <w:tcMar>
              <w:top w:w="57" w:type="dxa"/>
            </w:tcMar>
          </w:tcPr>
          <w:tbl>
            <w:tblPr>
              <w:tblStyle w:val="TableGrid"/>
              <w:tblW w:w="694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17" w:type="dxa"/>
                <w:left w:w="57" w:type="dxa"/>
                <w:bottom w:w="1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1410"/>
              <w:gridCol w:w="1992"/>
              <w:gridCol w:w="1843"/>
            </w:tblGrid>
            <w:tr w:rsidR="00362CA6" w:rsidRPr="00E534B6" w14:paraId="0E4AEE78" w14:textId="77777777" w:rsidTr="009E1A67">
              <w:tc>
                <w:tcPr>
                  <w:tcW w:w="1704" w:type="dxa"/>
                  <w:vMerge w:val="restart"/>
                  <w:tcBorders>
                    <w:top w:val="single" w:sz="8" w:space="0" w:color="auto"/>
                  </w:tcBorders>
                </w:tcPr>
                <w:p w14:paraId="39940555" w14:textId="77777777" w:rsidR="00E40B12" w:rsidRPr="00E534B6" w:rsidRDefault="00E40B12" w:rsidP="002600D0">
                  <w:pPr>
                    <w:spacing w:line="240" w:lineRule="auto"/>
                    <w:rPr>
                      <w:b/>
                      <w:bCs/>
                      <w:szCs w:val="18"/>
                    </w:rPr>
                  </w:pPr>
                  <w:r w:rsidRPr="00E534B6">
                    <w:rPr>
                      <w:b/>
                      <w:bCs/>
                      <w:szCs w:val="18"/>
                    </w:rPr>
                    <w:t>First choice</w:t>
                  </w:r>
                </w:p>
                <w:p w14:paraId="0A88ED32" w14:textId="22E2F6F5" w:rsidR="00362CA6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Midazolam (buccal)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</w:tcBorders>
                </w:tcPr>
                <w:p w14:paraId="4200434C" w14:textId="5ECFDBB2" w:rsidR="00362CA6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Up to 6mths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</w:tcBorders>
                </w:tcPr>
                <w:p w14:paraId="1F229F6D" w14:textId="21DD008E" w:rsidR="00362CA6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0.3mg/kg – max 2.5mg</w:t>
                  </w:r>
                </w:p>
              </w:tc>
            </w:tr>
            <w:tr w:rsidR="00362CA6" w:rsidRPr="00E534B6" w14:paraId="19C2B595" w14:textId="77777777" w:rsidTr="009E1A67">
              <w:tc>
                <w:tcPr>
                  <w:tcW w:w="1704" w:type="dxa"/>
                  <w:vMerge/>
                </w:tcPr>
                <w:p w14:paraId="6BAB2B36" w14:textId="77777777" w:rsidR="00362CA6" w:rsidRPr="00E534B6" w:rsidRDefault="00362CA6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1410" w:type="dxa"/>
                </w:tcPr>
                <w:p w14:paraId="20A5AA9C" w14:textId="366B0241" w:rsidR="00362CA6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6mths–1yr</w:t>
                  </w:r>
                </w:p>
              </w:tc>
              <w:tc>
                <w:tcPr>
                  <w:tcW w:w="3835" w:type="dxa"/>
                  <w:gridSpan w:val="2"/>
                </w:tcPr>
                <w:p w14:paraId="0E8EDD0B" w14:textId="186DB99D" w:rsidR="00362CA6" w:rsidRPr="00E534B6" w:rsidRDefault="00E40B12" w:rsidP="002600D0">
                  <w:pPr>
                    <w:spacing w:line="240" w:lineRule="auto"/>
                    <w:rPr>
                      <w:b/>
                      <w:bCs/>
                      <w:szCs w:val="18"/>
                    </w:rPr>
                  </w:pPr>
                  <w:r w:rsidRPr="00E534B6">
                    <w:rPr>
                      <w:szCs w:val="18"/>
                    </w:rPr>
                    <w:t xml:space="preserve">2.5mg </w:t>
                  </w:r>
                </w:p>
              </w:tc>
            </w:tr>
            <w:tr w:rsidR="00E40B12" w:rsidRPr="00E534B6" w14:paraId="582758CD" w14:textId="77777777" w:rsidTr="009E1A67">
              <w:tc>
                <w:tcPr>
                  <w:tcW w:w="1704" w:type="dxa"/>
                  <w:vMerge/>
                </w:tcPr>
                <w:p w14:paraId="2735E406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1410" w:type="dxa"/>
                </w:tcPr>
                <w:p w14:paraId="597977EB" w14:textId="0CD36F7E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1–5yrs</w:t>
                  </w:r>
                </w:p>
              </w:tc>
              <w:tc>
                <w:tcPr>
                  <w:tcW w:w="3835" w:type="dxa"/>
                  <w:gridSpan w:val="2"/>
                </w:tcPr>
                <w:p w14:paraId="23FA65FD" w14:textId="6C0F61BB" w:rsidR="00E40B12" w:rsidRPr="00E534B6" w:rsidRDefault="00E40B12" w:rsidP="002600D0">
                  <w:pPr>
                    <w:spacing w:line="240" w:lineRule="auto"/>
                    <w:rPr>
                      <w:b/>
                      <w:bCs/>
                      <w:szCs w:val="18"/>
                    </w:rPr>
                  </w:pPr>
                  <w:r w:rsidRPr="00E534B6">
                    <w:rPr>
                      <w:szCs w:val="18"/>
                    </w:rPr>
                    <w:t>5mg</w:t>
                  </w:r>
                </w:p>
              </w:tc>
            </w:tr>
            <w:tr w:rsidR="00E40B12" w:rsidRPr="00E534B6" w14:paraId="7BFB7C45" w14:textId="77777777" w:rsidTr="009E1A67">
              <w:tc>
                <w:tcPr>
                  <w:tcW w:w="1704" w:type="dxa"/>
                  <w:vMerge/>
                </w:tcPr>
                <w:p w14:paraId="7F641E8D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1410" w:type="dxa"/>
                </w:tcPr>
                <w:p w14:paraId="3EF4F19F" w14:textId="2668F643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5–10yrs</w:t>
                  </w:r>
                </w:p>
              </w:tc>
              <w:tc>
                <w:tcPr>
                  <w:tcW w:w="3835" w:type="dxa"/>
                  <w:gridSpan w:val="2"/>
                </w:tcPr>
                <w:p w14:paraId="55E637E7" w14:textId="0696869A" w:rsidR="00E40B12" w:rsidRPr="00E534B6" w:rsidRDefault="00E40B12" w:rsidP="002600D0">
                  <w:pPr>
                    <w:spacing w:line="240" w:lineRule="auto"/>
                    <w:rPr>
                      <w:b/>
                      <w:bCs/>
                      <w:szCs w:val="18"/>
                    </w:rPr>
                  </w:pPr>
                  <w:r w:rsidRPr="00E534B6">
                    <w:rPr>
                      <w:szCs w:val="18"/>
                    </w:rPr>
                    <w:t xml:space="preserve">7.5mg </w:t>
                  </w:r>
                </w:p>
              </w:tc>
            </w:tr>
            <w:tr w:rsidR="00E40B12" w:rsidRPr="00E534B6" w14:paraId="0B65EF34" w14:textId="77777777" w:rsidTr="009E1A67">
              <w:tc>
                <w:tcPr>
                  <w:tcW w:w="1704" w:type="dxa"/>
                  <w:vMerge/>
                </w:tcPr>
                <w:p w14:paraId="5E05A235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1410" w:type="dxa"/>
                </w:tcPr>
                <w:p w14:paraId="192CA206" w14:textId="2ADDB510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More than 10yrs</w:t>
                  </w:r>
                </w:p>
              </w:tc>
              <w:tc>
                <w:tcPr>
                  <w:tcW w:w="3835" w:type="dxa"/>
                  <w:gridSpan w:val="2"/>
                </w:tcPr>
                <w:p w14:paraId="605080B1" w14:textId="42425A12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10mg</w:t>
                  </w:r>
                </w:p>
              </w:tc>
            </w:tr>
            <w:tr w:rsidR="00E40B12" w:rsidRPr="00E534B6" w14:paraId="75702993" w14:textId="77777777" w:rsidTr="009E1A67">
              <w:tc>
                <w:tcPr>
                  <w:tcW w:w="1704" w:type="dxa"/>
                  <w:vMerge/>
                  <w:tcBorders>
                    <w:bottom w:val="single" w:sz="8" w:space="0" w:color="auto"/>
                  </w:tcBorders>
                </w:tcPr>
                <w:p w14:paraId="5DBCCCA6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5245" w:type="dxa"/>
                  <w:gridSpan w:val="3"/>
                  <w:tcBorders>
                    <w:bottom w:val="single" w:sz="8" w:space="0" w:color="auto"/>
                  </w:tcBorders>
                </w:tcPr>
                <w:p w14:paraId="44A7D3AB" w14:textId="77AF886D" w:rsidR="00E40B12" w:rsidRPr="00E534B6" w:rsidRDefault="00E40B12" w:rsidP="009E1A67">
                  <w:pPr>
                    <w:pStyle w:val="Boxbulletlist1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A single repeat dose may be given after 10 mins</w:t>
                  </w:r>
                </w:p>
              </w:tc>
            </w:tr>
            <w:tr w:rsidR="00E40B12" w:rsidRPr="00E534B6" w14:paraId="306C3ABB" w14:textId="77777777" w:rsidTr="009E1A67">
              <w:tc>
                <w:tcPr>
                  <w:tcW w:w="1704" w:type="dxa"/>
                  <w:vMerge w:val="restart"/>
                  <w:tcBorders>
                    <w:top w:val="single" w:sz="8" w:space="0" w:color="auto"/>
                  </w:tcBorders>
                </w:tcPr>
                <w:p w14:paraId="04C5ABB6" w14:textId="77777777" w:rsidR="00E40B12" w:rsidRPr="00E534B6" w:rsidRDefault="00E40B12" w:rsidP="002600D0">
                  <w:pPr>
                    <w:spacing w:line="240" w:lineRule="auto"/>
                    <w:rPr>
                      <w:b/>
                      <w:bCs/>
                      <w:szCs w:val="18"/>
                    </w:rPr>
                  </w:pPr>
                  <w:r w:rsidRPr="00E534B6">
                    <w:rPr>
                      <w:b/>
                      <w:bCs/>
                      <w:szCs w:val="18"/>
                    </w:rPr>
                    <w:t>Second choice</w:t>
                  </w:r>
                </w:p>
                <w:p w14:paraId="6AF7E02A" w14:textId="2E591BD1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Diazepam (rectal)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</w:tcBorders>
                </w:tcPr>
                <w:p w14:paraId="425F9D86" w14:textId="237E5A7C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Less than 1mth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</w:tcBorders>
                </w:tcPr>
                <w:p w14:paraId="692AF7AB" w14:textId="2BCE51C9" w:rsidR="00E40B12" w:rsidRPr="00E534B6" w:rsidRDefault="00214139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1.25–2.5mg</w:t>
                  </w:r>
                </w:p>
              </w:tc>
            </w:tr>
            <w:tr w:rsidR="00E40B12" w:rsidRPr="00E534B6" w14:paraId="3906B6A7" w14:textId="77777777" w:rsidTr="009E1A67">
              <w:tc>
                <w:tcPr>
                  <w:tcW w:w="1704" w:type="dxa"/>
                  <w:vMerge/>
                </w:tcPr>
                <w:p w14:paraId="78CBED6E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1410" w:type="dxa"/>
                </w:tcPr>
                <w:p w14:paraId="426088E0" w14:textId="2557E692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Child 1mth–1yr</w:t>
                  </w:r>
                </w:p>
              </w:tc>
              <w:tc>
                <w:tcPr>
                  <w:tcW w:w="3835" w:type="dxa"/>
                  <w:gridSpan w:val="2"/>
                </w:tcPr>
                <w:p w14:paraId="0C6FD338" w14:textId="6B7639A1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5mg</w:t>
                  </w:r>
                </w:p>
              </w:tc>
            </w:tr>
            <w:tr w:rsidR="00E40B12" w:rsidRPr="00E534B6" w14:paraId="0E40D5CC" w14:textId="77777777" w:rsidTr="009E1A67">
              <w:tc>
                <w:tcPr>
                  <w:tcW w:w="1704" w:type="dxa"/>
                  <w:vMerge/>
                </w:tcPr>
                <w:p w14:paraId="0660E2ED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1410" w:type="dxa"/>
                </w:tcPr>
                <w:p w14:paraId="4DEE58C4" w14:textId="5D1FC311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Child 2–11yrs</w:t>
                  </w:r>
                </w:p>
              </w:tc>
              <w:tc>
                <w:tcPr>
                  <w:tcW w:w="3835" w:type="dxa"/>
                  <w:gridSpan w:val="2"/>
                </w:tcPr>
                <w:p w14:paraId="4BD039A9" w14:textId="32DE2985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5–10mg</w:t>
                  </w:r>
                </w:p>
              </w:tc>
            </w:tr>
            <w:tr w:rsidR="00E40B12" w:rsidRPr="00E534B6" w14:paraId="17877E6F" w14:textId="77777777" w:rsidTr="009E1A67">
              <w:tc>
                <w:tcPr>
                  <w:tcW w:w="1704" w:type="dxa"/>
                  <w:vMerge/>
                </w:tcPr>
                <w:p w14:paraId="6856BEEF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1410" w:type="dxa"/>
                </w:tcPr>
                <w:p w14:paraId="62E7D022" w14:textId="068631F2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Child 12–17yrs</w:t>
                  </w:r>
                </w:p>
              </w:tc>
              <w:tc>
                <w:tcPr>
                  <w:tcW w:w="3835" w:type="dxa"/>
                  <w:gridSpan w:val="2"/>
                </w:tcPr>
                <w:p w14:paraId="7228851C" w14:textId="3DBF828E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10–20mg</w:t>
                  </w:r>
                </w:p>
              </w:tc>
            </w:tr>
            <w:tr w:rsidR="00E40B12" w:rsidRPr="00E534B6" w14:paraId="363EC192" w14:textId="77777777" w:rsidTr="009E1A67">
              <w:tc>
                <w:tcPr>
                  <w:tcW w:w="1704" w:type="dxa"/>
                  <w:vMerge/>
                  <w:tcBorders>
                    <w:bottom w:val="single" w:sz="8" w:space="0" w:color="auto"/>
                  </w:tcBorders>
                </w:tcPr>
                <w:p w14:paraId="6463C48A" w14:textId="77777777" w:rsidR="00E40B12" w:rsidRPr="00E534B6" w:rsidRDefault="00E40B12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5245" w:type="dxa"/>
                  <w:gridSpan w:val="3"/>
                  <w:tcBorders>
                    <w:bottom w:val="single" w:sz="8" w:space="0" w:color="auto"/>
                  </w:tcBorders>
                </w:tcPr>
                <w:p w14:paraId="2BDF72AB" w14:textId="7F0D2F32" w:rsidR="00E40B12" w:rsidRPr="00E534B6" w:rsidRDefault="00E40B12" w:rsidP="009E1A67">
                  <w:pPr>
                    <w:pStyle w:val="Boxbulletlist1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A single repeat dose may be given after 10 mins</w:t>
                  </w:r>
                </w:p>
              </w:tc>
            </w:tr>
            <w:tr w:rsidR="00E40B12" w:rsidRPr="00E534B6" w14:paraId="71DDDE51" w14:textId="77777777" w:rsidTr="009E1A67">
              <w:tc>
                <w:tcPr>
                  <w:tcW w:w="6949" w:type="dxa"/>
                  <w:gridSpan w:val="4"/>
                  <w:tcBorders>
                    <w:top w:val="single" w:sz="8" w:space="0" w:color="auto"/>
                  </w:tcBorders>
                </w:tcPr>
                <w:p w14:paraId="7436B580" w14:textId="25244A49" w:rsidR="00E40B12" w:rsidRPr="00E534B6" w:rsidRDefault="00E40B12" w:rsidP="002600D0">
                  <w:pPr>
                    <w:spacing w:line="240" w:lineRule="auto"/>
                    <w:rPr>
                      <w:b/>
                      <w:bCs/>
                      <w:szCs w:val="18"/>
                    </w:rPr>
                  </w:pPr>
                  <w:r w:rsidRPr="00E534B6">
                    <w:rPr>
                      <w:b/>
                      <w:bCs/>
                      <w:szCs w:val="18"/>
                    </w:rPr>
                    <w:t>If hypoglycaemia</w:t>
                  </w:r>
                  <w:r w:rsidR="005634C2" w:rsidRPr="00E534B6">
                    <w:rPr>
                      <w:b/>
                      <w:bCs/>
                      <w:szCs w:val="18"/>
                    </w:rPr>
                    <w:t xml:space="preserve"> give IM </w:t>
                  </w:r>
                  <w:r w:rsidR="00E643BE" w:rsidRPr="00E534B6">
                    <w:rPr>
                      <w:b/>
                      <w:bCs/>
                      <w:szCs w:val="18"/>
                    </w:rPr>
                    <w:t>g</w:t>
                  </w:r>
                  <w:r w:rsidR="005634C2" w:rsidRPr="00E534B6">
                    <w:rPr>
                      <w:b/>
                      <w:bCs/>
                      <w:szCs w:val="18"/>
                    </w:rPr>
                    <w:t xml:space="preserve">lucagon OR IV </w:t>
                  </w:r>
                  <w:r w:rsidR="00E643BE" w:rsidRPr="00E534B6">
                    <w:rPr>
                      <w:b/>
                      <w:bCs/>
                      <w:szCs w:val="18"/>
                    </w:rPr>
                    <w:t>g</w:t>
                  </w:r>
                  <w:r w:rsidR="005634C2" w:rsidRPr="00E534B6">
                    <w:rPr>
                      <w:b/>
                      <w:bCs/>
                      <w:szCs w:val="18"/>
                    </w:rPr>
                    <w:t>lucose</w:t>
                  </w:r>
                </w:p>
              </w:tc>
            </w:tr>
            <w:tr w:rsidR="00AB31EF" w:rsidRPr="00E534B6" w14:paraId="68D06919" w14:textId="77777777" w:rsidTr="009E1A67">
              <w:tc>
                <w:tcPr>
                  <w:tcW w:w="1704" w:type="dxa"/>
                  <w:vMerge w:val="restart"/>
                  <w:tcBorders>
                    <w:top w:val="single" w:sz="8" w:space="0" w:color="auto"/>
                  </w:tcBorders>
                </w:tcPr>
                <w:p w14:paraId="208FEE74" w14:textId="004876EF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Glucagon</w:t>
                  </w:r>
                  <w:r w:rsidR="005634C2" w:rsidRPr="00E534B6">
                    <w:rPr>
                      <w:szCs w:val="18"/>
                    </w:rPr>
                    <w:t xml:space="preserve"> IM</w:t>
                  </w:r>
                  <w:r w:rsidRPr="00E534B6">
                    <w:rPr>
                      <w:szCs w:val="18"/>
                    </w:rPr>
                    <w:br/>
                    <w:t>(1mg/ml)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8" w:space="0" w:color="auto"/>
                  </w:tcBorders>
                </w:tcPr>
                <w:p w14:paraId="1E3F914B" w14:textId="1881C9BF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8yrs or below (or body weight up to 25kg)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</w:tcBorders>
                </w:tcPr>
                <w:p w14:paraId="5682890C" w14:textId="1872E05D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500mcg IM (0.5ml)</w:t>
                  </w:r>
                </w:p>
              </w:tc>
            </w:tr>
            <w:tr w:rsidR="00AB31EF" w:rsidRPr="00E534B6" w14:paraId="7B231528" w14:textId="77777777" w:rsidTr="009E1A67">
              <w:tc>
                <w:tcPr>
                  <w:tcW w:w="1704" w:type="dxa"/>
                  <w:vMerge/>
                  <w:tcBorders>
                    <w:bottom w:val="single" w:sz="8" w:space="0" w:color="auto"/>
                  </w:tcBorders>
                </w:tcPr>
                <w:p w14:paraId="598355D7" w14:textId="77777777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bottom w:val="single" w:sz="8" w:space="0" w:color="auto"/>
                  </w:tcBorders>
                </w:tcPr>
                <w:p w14:paraId="0E7D75A1" w14:textId="321990ED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9–17yrs (or body weight over 25kg)</w:t>
                  </w:r>
                </w:p>
              </w:tc>
              <w:tc>
                <w:tcPr>
                  <w:tcW w:w="1843" w:type="dxa"/>
                  <w:tcBorders>
                    <w:bottom w:val="single" w:sz="8" w:space="0" w:color="auto"/>
                  </w:tcBorders>
                </w:tcPr>
                <w:p w14:paraId="52E6CBBE" w14:textId="0B71174E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1mg IM (1ml)</w:t>
                  </w:r>
                </w:p>
              </w:tc>
            </w:tr>
            <w:tr w:rsidR="00AB31EF" w:rsidRPr="00E534B6" w14:paraId="2677A725" w14:textId="77777777" w:rsidTr="009E1A67">
              <w:tc>
                <w:tcPr>
                  <w:tcW w:w="1704" w:type="dxa"/>
                  <w:tcBorders>
                    <w:top w:val="single" w:sz="8" w:space="0" w:color="auto"/>
                  </w:tcBorders>
                </w:tcPr>
                <w:p w14:paraId="0BEF9745" w14:textId="29EB08AB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IV glucose</w:t>
                  </w:r>
                </w:p>
              </w:tc>
              <w:tc>
                <w:tcPr>
                  <w:tcW w:w="5245" w:type="dxa"/>
                  <w:gridSpan w:val="3"/>
                  <w:tcBorders>
                    <w:top w:val="single" w:sz="8" w:space="0" w:color="auto"/>
                  </w:tcBorders>
                </w:tcPr>
                <w:p w14:paraId="4A1BC594" w14:textId="352A116B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2ml/kg 10% dextrose</w:t>
                  </w:r>
                </w:p>
              </w:tc>
            </w:tr>
            <w:tr w:rsidR="00AB31EF" w:rsidRPr="00E534B6" w14:paraId="362BCF33" w14:textId="77777777" w:rsidTr="009E1A67">
              <w:tc>
                <w:tcPr>
                  <w:tcW w:w="170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4863BA44" w14:textId="225AE9C0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Oxygen</w:t>
                  </w:r>
                </w:p>
              </w:tc>
              <w:tc>
                <w:tcPr>
                  <w:tcW w:w="5245" w:type="dxa"/>
                  <w:gridSpan w:val="3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0A0E9055" w14:textId="77777777" w:rsidR="00AB31EF" w:rsidRPr="00E534B6" w:rsidRDefault="00AB31EF" w:rsidP="002600D0">
                  <w:pPr>
                    <w:spacing w:line="240" w:lineRule="auto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15L/min via reservoir mask</w:t>
                  </w:r>
                </w:p>
                <w:p w14:paraId="1A61D4C2" w14:textId="60066A9B" w:rsidR="00E534B6" w:rsidRPr="00E534B6" w:rsidRDefault="00E534B6" w:rsidP="00E534B6">
                  <w:pPr>
                    <w:pStyle w:val="Boxbulletlist1"/>
                    <w:rPr>
                      <w:szCs w:val="18"/>
                    </w:rPr>
                  </w:pPr>
                  <w:r w:rsidRPr="00E534B6">
                    <w:rPr>
                      <w:szCs w:val="18"/>
                    </w:rPr>
                    <w:t>Aim for SpO2 92%</w:t>
                  </w:r>
                </w:p>
              </w:tc>
            </w:tr>
          </w:tbl>
          <w:p w14:paraId="2094C167" w14:textId="74EB3E39" w:rsidR="00362CA6" w:rsidRPr="00E534B6" w:rsidRDefault="00AB31EF" w:rsidP="00214139">
            <w:pPr>
              <w:pStyle w:val="Boxbulletlist1"/>
              <w:spacing w:before="120" w:after="120"/>
              <w:rPr>
                <w:szCs w:val="18"/>
              </w:rPr>
            </w:pPr>
            <w:r w:rsidRPr="00E534B6">
              <w:rPr>
                <w:szCs w:val="18"/>
              </w:rPr>
              <w:t>If hypoglycaemia protracted or no response to glucagon in 10 mins then give IV glucose.</w:t>
            </w:r>
          </w:p>
        </w:tc>
      </w:tr>
    </w:tbl>
    <w:p w14:paraId="096E1257" w14:textId="77777777" w:rsidR="00362CA6" w:rsidRPr="004A049E" w:rsidRDefault="00362CA6" w:rsidP="004A049E">
      <w:pPr>
        <w:spacing w:line="240" w:lineRule="auto"/>
        <w:rPr>
          <w:rStyle w:val="SPACER"/>
          <w:sz w:val="13"/>
          <w:szCs w:val="13"/>
        </w:rPr>
      </w:pPr>
    </w:p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AB31EF" w14:paraId="5CD7B1B0" w14:textId="77777777" w:rsidTr="004B0A9C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EC23E2A" w14:textId="77777777" w:rsidR="00362CA6" w:rsidRPr="00AB31EF" w:rsidRDefault="00362CA6" w:rsidP="004B0A9C">
            <w:pPr>
              <w:pStyle w:val="boxheaderwhite"/>
            </w:pPr>
            <w:r w:rsidRPr="002600D0">
              <w:t>BOX</w:t>
            </w:r>
            <w:r w:rsidRPr="00AB31EF">
              <w:t xml:space="preserve"> B: critical changes</w:t>
            </w:r>
          </w:p>
        </w:tc>
      </w:tr>
      <w:tr w:rsidR="00362CA6" w:rsidRPr="00594881" w14:paraId="0156BEE3" w14:textId="77777777" w:rsidTr="002600D0">
        <w:tc>
          <w:tcPr>
            <w:tcW w:w="7154" w:type="dxa"/>
            <w:tcBorders>
              <w:top w:val="nil"/>
            </w:tcBorders>
            <w:tcMar>
              <w:top w:w="28" w:type="dxa"/>
              <w:bottom w:w="28" w:type="dxa"/>
            </w:tcMar>
          </w:tcPr>
          <w:p w14:paraId="5ABB1EB2" w14:textId="7EA3DF3C" w:rsidR="00E40B12" w:rsidRPr="00E40B12" w:rsidRDefault="00E40B12" w:rsidP="009E1A67">
            <w:pPr>
              <w:pStyle w:val="Boxbulletlist1"/>
              <w:spacing w:line="240" w:lineRule="auto"/>
              <w:rPr>
                <w:b/>
              </w:rPr>
            </w:pPr>
            <w:r w:rsidRPr="00E40B12">
              <w:t xml:space="preserve">If cardiac arrest </w:t>
            </w:r>
            <w:r w:rsidRPr="00E40B12">
              <w:sym w:font="Wingdings" w:char="F0E8"/>
            </w:r>
            <w:r w:rsidRPr="00E40B12">
              <w:t xml:space="preserve"> </w:t>
            </w:r>
            <w:r w:rsidRPr="00E40B12">
              <w:rPr>
                <w:rStyle w:val="Externaldocumentreference"/>
              </w:rPr>
              <w:t>3-13 B</w:t>
            </w:r>
            <w:r w:rsidR="009450EB">
              <w:rPr>
                <w:rStyle w:val="Externaldocumentreference"/>
              </w:rPr>
              <w:t>L</w:t>
            </w:r>
            <w:r w:rsidRPr="00E40B12">
              <w:rPr>
                <w:rStyle w:val="Externaldocumentreference"/>
              </w:rPr>
              <w:t>S</w:t>
            </w:r>
            <w:r w:rsidR="009450EB">
              <w:rPr>
                <w:rStyle w:val="Externaldocumentreference"/>
              </w:rPr>
              <w:t>,</w:t>
            </w:r>
            <w:r w:rsidRPr="00E40B12">
              <w:rPr>
                <w:rStyle w:val="Externaldocumentreference"/>
              </w:rPr>
              <w:t xml:space="preserve"> C</w:t>
            </w:r>
            <w:r w:rsidR="009450EB">
              <w:rPr>
                <w:rStyle w:val="Externaldocumentreference"/>
              </w:rPr>
              <w:t>hild</w:t>
            </w:r>
          </w:p>
          <w:p w14:paraId="59C8A45F" w14:textId="6FB80471" w:rsidR="00362CA6" w:rsidRPr="00594881" w:rsidRDefault="00E40B12" w:rsidP="00214139">
            <w:pPr>
              <w:pStyle w:val="Boxbulletlist1"/>
              <w:spacing w:after="120" w:line="240" w:lineRule="auto"/>
            </w:pPr>
            <w:r w:rsidRPr="00E40B12">
              <w:t xml:space="preserve">If no improvement </w:t>
            </w:r>
            <w:r w:rsidRPr="00E40B12">
              <w:sym w:font="Wingdings" w:char="F0E8"/>
            </w:r>
            <w:r w:rsidRPr="00E40B12">
              <w:t xml:space="preserve"> </w:t>
            </w:r>
            <w:r w:rsidRPr="00E40B12">
              <w:rPr>
                <w:rStyle w:val="Externaldocumentreference"/>
              </w:rPr>
              <w:t>2-1 K</w:t>
            </w:r>
            <w:r w:rsidR="009450EB">
              <w:rPr>
                <w:rStyle w:val="Externaldocumentreference"/>
              </w:rPr>
              <w:t>ey basic plan</w:t>
            </w:r>
          </w:p>
        </w:tc>
      </w:tr>
    </w:tbl>
    <w:p w14:paraId="77E5ACEE" w14:textId="77777777" w:rsidR="00362CA6" w:rsidRPr="004A049E" w:rsidRDefault="00362CA6" w:rsidP="004A049E">
      <w:pPr>
        <w:spacing w:line="240" w:lineRule="auto"/>
        <w:rPr>
          <w:rStyle w:val="SPACER"/>
          <w:sz w:val="13"/>
          <w:szCs w:val="13"/>
        </w:rPr>
      </w:pPr>
    </w:p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39D0C288" w14:textId="77777777" w:rsidTr="004B0A9C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41281595" w14:textId="77777777" w:rsidR="00362CA6" w:rsidRPr="00594881" w:rsidRDefault="00362CA6" w:rsidP="004B0A9C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362CA6" w:rsidRPr="00594881" w14:paraId="24F37BBF" w14:textId="77777777" w:rsidTr="002600D0">
        <w:tc>
          <w:tcPr>
            <w:tcW w:w="7154" w:type="dxa"/>
            <w:tcBorders>
              <w:top w:val="nil"/>
            </w:tcBorders>
            <w:tcMar>
              <w:top w:w="28" w:type="dxa"/>
              <w:bottom w:w="28" w:type="dxa"/>
            </w:tcMar>
          </w:tcPr>
          <w:p w14:paraId="6C47E5FD" w14:textId="064EF9DB" w:rsidR="00E40B12" w:rsidRPr="00E40B12" w:rsidRDefault="00E40B12" w:rsidP="00214139">
            <w:pPr>
              <w:pStyle w:val="Boxbulletlist1"/>
            </w:pPr>
            <w:r w:rsidRPr="00E40B12">
              <w:t>Avoid restricting or moving child whil</w:t>
            </w:r>
            <w:r w:rsidR="00FE4E71">
              <w:t>e</w:t>
            </w:r>
            <w:r w:rsidRPr="00E40B12">
              <w:t xml:space="preserve"> seizure ongoing (clinician decision whether or not to move child to treatment area where appropriate)</w:t>
            </w:r>
          </w:p>
          <w:p w14:paraId="240C50E0" w14:textId="4F7A57AD" w:rsidR="009E1A67" w:rsidRPr="009E1A67" w:rsidRDefault="009E1A67" w:rsidP="00214139">
            <w:pPr>
              <w:pStyle w:val="Boxbulletlist1"/>
            </w:pPr>
            <w:r w:rsidRPr="009E1A67">
              <w:t>Recovery position is left lateral, unless not possible</w:t>
            </w:r>
          </w:p>
          <w:p w14:paraId="18C3A73D" w14:textId="62148311" w:rsidR="009E1A67" w:rsidRPr="00E40B12" w:rsidRDefault="009E1A67" w:rsidP="00214139">
            <w:pPr>
              <w:pStyle w:val="Boxbulletlist1"/>
              <w:spacing w:after="120"/>
              <w:rPr>
                <w:b/>
              </w:rPr>
            </w:pPr>
            <w:r w:rsidRPr="009E1A67">
              <w:t>Causes of seizure to consider: convulsive syncope, pseudoseizure, hypoglycaemia, drug overdose or withdrawal</w:t>
            </w:r>
          </w:p>
        </w:tc>
      </w:tr>
    </w:tbl>
    <w:p w14:paraId="6D408032" w14:textId="77777777" w:rsidR="00362CA6" w:rsidRPr="00AB31EF" w:rsidRDefault="00362CA6" w:rsidP="006A05EC">
      <w:pPr>
        <w:rPr>
          <w:sz w:val="6"/>
          <w:szCs w:val="6"/>
        </w:rPr>
      </w:pPr>
    </w:p>
    <w:sectPr w:rsidR="00362CA6" w:rsidRPr="00AB31EF" w:rsidSect="00035FF6">
      <w:type w:val="continuous"/>
      <w:pgSz w:w="16838" w:h="11906" w:orient="landscape"/>
      <w:pgMar w:top="567" w:right="851" w:bottom="567" w:left="851" w:header="709" w:footer="3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48C7" w14:textId="77777777" w:rsidR="004C6379" w:rsidRDefault="004C6379" w:rsidP="00F63D9B">
      <w:pPr>
        <w:spacing w:line="240" w:lineRule="auto"/>
      </w:pPr>
      <w:r>
        <w:separator/>
      </w:r>
    </w:p>
  </w:endnote>
  <w:endnote w:type="continuationSeparator" w:id="0">
    <w:p w14:paraId="6086C15D" w14:textId="77777777" w:rsidR="004C6379" w:rsidRDefault="004C6379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2600D0" w14:paraId="55A554FB" w14:textId="77777777" w:rsidTr="00114701">
      <w:tc>
        <w:tcPr>
          <w:tcW w:w="11619" w:type="dxa"/>
        </w:tcPr>
        <w:p w14:paraId="3A9D60A3" w14:textId="77777777" w:rsidR="002600D0" w:rsidRDefault="002600D0" w:rsidP="002600D0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42912781" w14:textId="1BD499DC" w:rsidR="00862952" w:rsidRDefault="00862952" w:rsidP="00862952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3-14</w:t>
          </w:r>
        </w:p>
      </w:tc>
    </w:tr>
  </w:tbl>
  <w:p w14:paraId="60D0ABC2" w14:textId="77777777" w:rsidR="002600D0" w:rsidRDefault="00260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D235" w14:textId="77777777" w:rsidR="004C6379" w:rsidRDefault="004C6379" w:rsidP="00F63D9B">
      <w:pPr>
        <w:spacing w:line="240" w:lineRule="auto"/>
      </w:pPr>
      <w:r>
        <w:separator/>
      </w:r>
    </w:p>
  </w:footnote>
  <w:footnote w:type="continuationSeparator" w:id="0">
    <w:p w14:paraId="69F00A69" w14:textId="77777777" w:rsidR="004C6379" w:rsidRDefault="004C6379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202CB"/>
    <w:multiLevelType w:val="multilevel"/>
    <w:tmpl w:val="B5367A8C"/>
    <w:styleLink w:val="CurrentList7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C7485"/>
    <w:multiLevelType w:val="multilevel"/>
    <w:tmpl w:val="D97C0D80"/>
    <w:styleLink w:val="CurrentList8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4141B"/>
    <w:multiLevelType w:val="hybridMultilevel"/>
    <w:tmpl w:val="D38AFBD0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86E11"/>
    <w:multiLevelType w:val="hybridMultilevel"/>
    <w:tmpl w:val="8962FB3E"/>
    <w:lvl w:ilvl="0" w:tplc="E7205B52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A8714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21E361B"/>
    <w:multiLevelType w:val="hybridMultilevel"/>
    <w:tmpl w:val="78C45D1C"/>
    <w:lvl w:ilvl="0" w:tplc="BA306C3C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E3BFC"/>
    <w:multiLevelType w:val="multilevel"/>
    <w:tmpl w:val="4FE2E792"/>
    <w:styleLink w:val="CurrentList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A7AF1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151DE"/>
    <w:multiLevelType w:val="hybridMultilevel"/>
    <w:tmpl w:val="06764B24"/>
    <w:lvl w:ilvl="0" w:tplc="92DEFCB6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86D4B"/>
    <w:multiLevelType w:val="multilevel"/>
    <w:tmpl w:val="FF260218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99A1560"/>
    <w:multiLevelType w:val="multilevel"/>
    <w:tmpl w:val="3E186AA0"/>
    <w:styleLink w:val="CurrentList4"/>
    <w:lvl w:ilvl="0">
      <w:start w:val="1"/>
      <w:numFmt w:val="bullet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67527"/>
    <w:multiLevelType w:val="multilevel"/>
    <w:tmpl w:val="745C82CA"/>
    <w:styleLink w:val="CurrentList6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82197"/>
    <w:multiLevelType w:val="hybridMultilevel"/>
    <w:tmpl w:val="95EAA7F2"/>
    <w:lvl w:ilvl="0" w:tplc="F2740162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84411">
    <w:abstractNumId w:val="10"/>
  </w:num>
  <w:num w:numId="2" w16cid:durableId="220868090">
    <w:abstractNumId w:val="17"/>
  </w:num>
  <w:num w:numId="3" w16cid:durableId="557784185">
    <w:abstractNumId w:val="24"/>
  </w:num>
  <w:num w:numId="4" w16cid:durableId="584073606">
    <w:abstractNumId w:val="30"/>
  </w:num>
  <w:num w:numId="5" w16cid:durableId="1851531697">
    <w:abstractNumId w:val="0"/>
  </w:num>
  <w:num w:numId="6" w16cid:durableId="1808012161">
    <w:abstractNumId w:val="1"/>
  </w:num>
  <w:num w:numId="7" w16cid:durableId="1941446341">
    <w:abstractNumId w:val="2"/>
  </w:num>
  <w:num w:numId="8" w16cid:durableId="473958204">
    <w:abstractNumId w:val="3"/>
  </w:num>
  <w:num w:numId="9" w16cid:durableId="1300108485">
    <w:abstractNumId w:val="8"/>
  </w:num>
  <w:num w:numId="10" w16cid:durableId="1535577183">
    <w:abstractNumId w:val="4"/>
  </w:num>
  <w:num w:numId="11" w16cid:durableId="1537617413">
    <w:abstractNumId w:val="5"/>
  </w:num>
  <w:num w:numId="12" w16cid:durableId="413285656">
    <w:abstractNumId w:val="6"/>
  </w:num>
  <w:num w:numId="13" w16cid:durableId="1572740087">
    <w:abstractNumId w:val="7"/>
  </w:num>
  <w:num w:numId="14" w16cid:durableId="732772795">
    <w:abstractNumId w:val="9"/>
  </w:num>
  <w:num w:numId="15" w16cid:durableId="895627401">
    <w:abstractNumId w:val="31"/>
  </w:num>
  <w:num w:numId="16" w16cid:durableId="1967658948">
    <w:abstractNumId w:val="23"/>
  </w:num>
  <w:num w:numId="17" w16cid:durableId="190538212">
    <w:abstractNumId w:val="11"/>
  </w:num>
  <w:num w:numId="18" w16cid:durableId="584850426">
    <w:abstractNumId w:val="33"/>
  </w:num>
  <w:num w:numId="19" w16cid:durableId="291257525">
    <w:abstractNumId w:val="28"/>
  </w:num>
  <w:num w:numId="20" w16cid:durableId="1014574839">
    <w:abstractNumId w:val="12"/>
  </w:num>
  <w:num w:numId="21" w16cid:durableId="1570965896">
    <w:abstractNumId w:val="20"/>
  </w:num>
  <w:num w:numId="22" w16cid:durableId="1050962961">
    <w:abstractNumId w:val="16"/>
  </w:num>
  <w:num w:numId="23" w16cid:durableId="189880099">
    <w:abstractNumId w:val="25"/>
  </w:num>
  <w:num w:numId="24" w16cid:durableId="1924297267">
    <w:abstractNumId w:val="19"/>
  </w:num>
  <w:num w:numId="25" w16cid:durableId="433944328">
    <w:abstractNumId w:val="32"/>
  </w:num>
  <w:num w:numId="26" w16cid:durableId="101849826">
    <w:abstractNumId w:val="15"/>
  </w:num>
  <w:num w:numId="27" w16cid:durableId="61873188">
    <w:abstractNumId w:val="18"/>
  </w:num>
  <w:num w:numId="28" w16cid:durableId="1326393418">
    <w:abstractNumId w:val="22"/>
  </w:num>
  <w:num w:numId="29" w16cid:durableId="386027681">
    <w:abstractNumId w:val="26"/>
  </w:num>
  <w:num w:numId="30" w16cid:durableId="1195387634">
    <w:abstractNumId w:val="27"/>
  </w:num>
  <w:num w:numId="31" w16cid:durableId="1862160700">
    <w:abstractNumId w:val="21"/>
  </w:num>
  <w:num w:numId="32" w16cid:durableId="801078015">
    <w:abstractNumId w:val="29"/>
  </w:num>
  <w:num w:numId="33" w16cid:durableId="1740707497">
    <w:abstractNumId w:val="13"/>
  </w:num>
  <w:num w:numId="34" w16cid:durableId="1936666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348FC"/>
    <w:rsid w:val="00035FF6"/>
    <w:rsid w:val="00054D35"/>
    <w:rsid w:val="00054DF2"/>
    <w:rsid w:val="00056ADA"/>
    <w:rsid w:val="00056B56"/>
    <w:rsid w:val="00075981"/>
    <w:rsid w:val="000939F9"/>
    <w:rsid w:val="000E33FB"/>
    <w:rsid w:val="000F2597"/>
    <w:rsid w:val="0011062C"/>
    <w:rsid w:val="00190124"/>
    <w:rsid w:val="0019025E"/>
    <w:rsid w:val="0019042D"/>
    <w:rsid w:val="001D006F"/>
    <w:rsid w:val="001F3F51"/>
    <w:rsid w:val="00211B32"/>
    <w:rsid w:val="00214139"/>
    <w:rsid w:val="0022564D"/>
    <w:rsid w:val="002600D0"/>
    <w:rsid w:val="002A76E1"/>
    <w:rsid w:val="002C17F6"/>
    <w:rsid w:val="002D68F9"/>
    <w:rsid w:val="00305EA3"/>
    <w:rsid w:val="00335E6C"/>
    <w:rsid w:val="00342562"/>
    <w:rsid w:val="00344304"/>
    <w:rsid w:val="00344EC4"/>
    <w:rsid w:val="00362CA6"/>
    <w:rsid w:val="00384BC9"/>
    <w:rsid w:val="003A26AB"/>
    <w:rsid w:val="003A390D"/>
    <w:rsid w:val="003B51D9"/>
    <w:rsid w:val="00406A43"/>
    <w:rsid w:val="00416327"/>
    <w:rsid w:val="00417855"/>
    <w:rsid w:val="00440F75"/>
    <w:rsid w:val="0049408D"/>
    <w:rsid w:val="004A049E"/>
    <w:rsid w:val="004B0A9C"/>
    <w:rsid w:val="004C6379"/>
    <w:rsid w:val="005046A2"/>
    <w:rsid w:val="00557852"/>
    <w:rsid w:val="005634C2"/>
    <w:rsid w:val="00564850"/>
    <w:rsid w:val="0057047A"/>
    <w:rsid w:val="005833E1"/>
    <w:rsid w:val="00594881"/>
    <w:rsid w:val="00594E76"/>
    <w:rsid w:val="005B37B9"/>
    <w:rsid w:val="005D2F4E"/>
    <w:rsid w:val="006671E6"/>
    <w:rsid w:val="006A05EC"/>
    <w:rsid w:val="00740FBD"/>
    <w:rsid w:val="00760991"/>
    <w:rsid w:val="00806B58"/>
    <w:rsid w:val="00813630"/>
    <w:rsid w:val="00862952"/>
    <w:rsid w:val="00865A3F"/>
    <w:rsid w:val="00871F03"/>
    <w:rsid w:val="00877BDD"/>
    <w:rsid w:val="00882782"/>
    <w:rsid w:val="008B2774"/>
    <w:rsid w:val="008B4108"/>
    <w:rsid w:val="008C6B55"/>
    <w:rsid w:val="008D04D7"/>
    <w:rsid w:val="00900E40"/>
    <w:rsid w:val="009207E1"/>
    <w:rsid w:val="00934663"/>
    <w:rsid w:val="00935A58"/>
    <w:rsid w:val="009450EB"/>
    <w:rsid w:val="00963997"/>
    <w:rsid w:val="009A1FE8"/>
    <w:rsid w:val="009D341F"/>
    <w:rsid w:val="009E1A67"/>
    <w:rsid w:val="00A20397"/>
    <w:rsid w:val="00A338C6"/>
    <w:rsid w:val="00A5416A"/>
    <w:rsid w:val="00A563A6"/>
    <w:rsid w:val="00A75402"/>
    <w:rsid w:val="00AA3C61"/>
    <w:rsid w:val="00AB31EF"/>
    <w:rsid w:val="00AC4E10"/>
    <w:rsid w:val="00AD0313"/>
    <w:rsid w:val="00B51F22"/>
    <w:rsid w:val="00B52FD0"/>
    <w:rsid w:val="00B64E88"/>
    <w:rsid w:val="00BA3AD8"/>
    <w:rsid w:val="00BB3D04"/>
    <w:rsid w:val="00BC2CC3"/>
    <w:rsid w:val="00BC31AC"/>
    <w:rsid w:val="00BE1681"/>
    <w:rsid w:val="00C04281"/>
    <w:rsid w:val="00C441E2"/>
    <w:rsid w:val="00C44363"/>
    <w:rsid w:val="00C769E7"/>
    <w:rsid w:val="00C920D4"/>
    <w:rsid w:val="00C97542"/>
    <w:rsid w:val="00CD29AD"/>
    <w:rsid w:val="00CD467B"/>
    <w:rsid w:val="00CF7456"/>
    <w:rsid w:val="00D15B0C"/>
    <w:rsid w:val="00D41CC2"/>
    <w:rsid w:val="00D62D1F"/>
    <w:rsid w:val="00D71127"/>
    <w:rsid w:val="00D86399"/>
    <w:rsid w:val="00DE16B0"/>
    <w:rsid w:val="00E05979"/>
    <w:rsid w:val="00E323D6"/>
    <w:rsid w:val="00E40B12"/>
    <w:rsid w:val="00E41D51"/>
    <w:rsid w:val="00E534B6"/>
    <w:rsid w:val="00E643BE"/>
    <w:rsid w:val="00E9354B"/>
    <w:rsid w:val="00EC7833"/>
    <w:rsid w:val="00ED5DDD"/>
    <w:rsid w:val="00ED611B"/>
    <w:rsid w:val="00EE1A28"/>
    <w:rsid w:val="00F0396E"/>
    <w:rsid w:val="00F059A9"/>
    <w:rsid w:val="00F357DF"/>
    <w:rsid w:val="00F61FE0"/>
    <w:rsid w:val="00F63D9B"/>
    <w:rsid w:val="00F66032"/>
    <w:rsid w:val="00F66569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A9C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35E6C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A9C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B0A9C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338C6"/>
    <w:rPr>
      <w:b/>
      <w:bCs/>
      <w:sz w:val="40"/>
      <w:szCs w:val="40"/>
    </w:rPr>
  </w:style>
  <w:style w:type="paragraph" w:customStyle="1" w:styleId="Introparagraph">
    <w:name w:val="Intro paragraph"/>
    <w:basedOn w:val="Normal"/>
    <w:qFormat/>
    <w:rsid w:val="004B0A9C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A338C6"/>
    <w:rPr>
      <w:rFonts w:eastAsiaTheme="minorEastAsia" w:cs="Times New Roman (Body CS)"/>
      <w:b/>
      <w:bCs/>
      <w:sz w:val="40"/>
      <w:szCs w:val="40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4B0A9C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4B0A9C"/>
    <w:pPr>
      <w:numPr>
        <w:numId w:val="25"/>
      </w:numPr>
    </w:pPr>
  </w:style>
  <w:style w:type="paragraph" w:styleId="NoSpacing">
    <w:name w:val="No Spacing"/>
    <w:uiPriority w:val="1"/>
    <w:qFormat/>
    <w:rsid w:val="00E40B12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E4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E71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E71"/>
    <w:rPr>
      <w:rFonts w:eastAsiaTheme="minorEastAsia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E71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71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634C2"/>
    <w:rPr>
      <w:rFonts w:eastAsiaTheme="minorEastAsia" w:cs="Times New Roman (Body CS)"/>
      <w:sz w:val="18"/>
    </w:rPr>
  </w:style>
  <w:style w:type="numbering" w:customStyle="1" w:styleId="CurrentList1">
    <w:name w:val="Current List1"/>
    <w:uiPriority w:val="99"/>
    <w:rsid w:val="004B0A9C"/>
    <w:pPr>
      <w:numPr>
        <w:numId w:val="27"/>
      </w:numPr>
    </w:pPr>
  </w:style>
  <w:style w:type="numbering" w:customStyle="1" w:styleId="CurrentList2">
    <w:name w:val="Current List2"/>
    <w:uiPriority w:val="99"/>
    <w:rsid w:val="004B0A9C"/>
    <w:pPr>
      <w:numPr>
        <w:numId w:val="28"/>
      </w:numPr>
    </w:pPr>
  </w:style>
  <w:style w:type="numbering" w:customStyle="1" w:styleId="CurrentList3">
    <w:name w:val="Current List3"/>
    <w:uiPriority w:val="99"/>
    <w:rsid w:val="004B0A9C"/>
    <w:pPr>
      <w:numPr>
        <w:numId w:val="29"/>
      </w:numPr>
    </w:pPr>
  </w:style>
  <w:style w:type="numbering" w:customStyle="1" w:styleId="CurrentList4">
    <w:name w:val="Current List4"/>
    <w:uiPriority w:val="99"/>
    <w:rsid w:val="004B0A9C"/>
    <w:pPr>
      <w:numPr>
        <w:numId w:val="30"/>
      </w:numPr>
    </w:pPr>
  </w:style>
  <w:style w:type="paragraph" w:customStyle="1" w:styleId="Sectionreference">
    <w:name w:val="Section reference"/>
    <w:basedOn w:val="Normal"/>
    <w:qFormat/>
    <w:rsid w:val="004B0A9C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child">
    <w:name w:val="child"/>
    <w:basedOn w:val="Title"/>
    <w:qFormat/>
    <w:rsid w:val="004B0A9C"/>
    <w:pPr>
      <w:jc w:val="center"/>
    </w:pPr>
    <w:rPr>
      <w:rFonts w:ascii="Calibri" w:hAnsi="Calibri"/>
      <w:b w:val="0"/>
      <w:bCs w:val="0"/>
      <w:color w:val="385623" w:themeColor="accent6" w:themeShade="80"/>
      <w:sz w:val="36"/>
      <w:szCs w:val="36"/>
      <w:lang w:eastAsia="en-GB"/>
    </w:rPr>
  </w:style>
  <w:style w:type="numbering" w:customStyle="1" w:styleId="CurrentList5">
    <w:name w:val="Current List5"/>
    <w:uiPriority w:val="99"/>
    <w:rsid w:val="00335E6C"/>
    <w:pPr>
      <w:numPr>
        <w:numId w:val="31"/>
      </w:numPr>
    </w:pPr>
  </w:style>
  <w:style w:type="numbering" w:customStyle="1" w:styleId="CurrentList6">
    <w:name w:val="Current List6"/>
    <w:uiPriority w:val="99"/>
    <w:rsid w:val="00335E6C"/>
    <w:pPr>
      <w:numPr>
        <w:numId w:val="32"/>
      </w:numPr>
    </w:pPr>
  </w:style>
  <w:style w:type="numbering" w:customStyle="1" w:styleId="CurrentList7">
    <w:name w:val="Current List7"/>
    <w:uiPriority w:val="99"/>
    <w:rsid w:val="00335E6C"/>
    <w:pPr>
      <w:numPr>
        <w:numId w:val="33"/>
      </w:numPr>
    </w:pPr>
  </w:style>
  <w:style w:type="numbering" w:customStyle="1" w:styleId="CurrentList8">
    <w:name w:val="Current List8"/>
    <w:uiPriority w:val="99"/>
    <w:rsid w:val="00335E6C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5</cp:revision>
  <cp:lastPrinted>2025-01-19T22:44:00Z</cp:lastPrinted>
  <dcterms:created xsi:type="dcterms:W3CDTF">2024-04-05T22:25:00Z</dcterms:created>
  <dcterms:modified xsi:type="dcterms:W3CDTF">2025-11-26T20:44:00Z</dcterms:modified>
</cp:coreProperties>
</file>