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3" w:type="dxa"/>
        <w:tblBorders>
          <w:top w:val="single" w:sz="24" w:space="0" w:color="404040" w:themeColor="text1" w:themeTint="BF"/>
          <w:left w:val="single" w:sz="24" w:space="0" w:color="404040" w:themeColor="text1" w:themeTint="BF"/>
          <w:bottom w:val="single" w:sz="24" w:space="0" w:color="404040" w:themeColor="text1" w:themeTint="BF"/>
          <w:right w:val="single" w:sz="24" w:space="0" w:color="404040" w:themeColor="text1" w:themeTint="BF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20" w:firstRow="1" w:lastRow="0" w:firstColumn="0" w:lastColumn="0" w:noHBand="0" w:noVBand="1"/>
      </w:tblPr>
      <w:tblGrid>
        <w:gridCol w:w="15163"/>
      </w:tblGrid>
      <w:tr w:rsidR="00E120CA" w:rsidRPr="00E120CA" w14:paraId="352F2D76" w14:textId="77777777" w:rsidTr="009071C4">
        <w:trPr>
          <w:trHeight w:val="2709"/>
        </w:trPr>
        <w:tc>
          <w:tcPr>
            <w:tcW w:w="15163" w:type="dxa"/>
            <w:shd w:val="clear" w:color="auto" w:fill="404040" w:themeFill="text1" w:themeFillTint="BF"/>
            <w:vAlign w:val="center"/>
          </w:tcPr>
          <w:p w14:paraId="55D4C157" w14:textId="0C573EFA" w:rsidR="003418A3" w:rsidRPr="00E120CA" w:rsidRDefault="003418A3" w:rsidP="00E120CA">
            <w:pPr>
              <w:jc w:val="center"/>
              <w:rPr>
                <w:b/>
                <w:bCs/>
                <w:color w:val="FFFFFF" w:themeColor="background1"/>
                <w:sz w:val="96"/>
                <w:szCs w:val="96"/>
              </w:rPr>
            </w:pPr>
            <w:r w:rsidRPr="00E120CA">
              <w:rPr>
                <w:b/>
                <w:bCs/>
                <w:color w:val="FFFFFF" w:themeColor="background1"/>
                <w:sz w:val="96"/>
                <w:szCs w:val="96"/>
              </w:rPr>
              <w:t>GP Quick Reference Handbook</w:t>
            </w:r>
          </w:p>
          <w:p w14:paraId="4FF99753" w14:textId="6A737260" w:rsidR="003418A3" w:rsidRPr="00E120CA" w:rsidRDefault="003418A3" w:rsidP="00E120CA">
            <w:pPr>
              <w:jc w:val="center"/>
              <w:rPr>
                <w:color w:val="FFFFFF" w:themeColor="background1"/>
                <w:sz w:val="48"/>
                <w:szCs w:val="48"/>
              </w:rPr>
            </w:pPr>
            <w:r w:rsidRPr="00E120CA">
              <w:rPr>
                <w:color w:val="FFFFFF" w:themeColor="background1"/>
                <w:sz w:val="48"/>
                <w:szCs w:val="48"/>
              </w:rPr>
              <w:t>Checklists for Crises in General Practice</w:t>
            </w:r>
          </w:p>
        </w:tc>
      </w:tr>
    </w:tbl>
    <w:p w14:paraId="3EEBD0F3" w14:textId="77777777" w:rsidR="009A1835" w:rsidRPr="00757784" w:rsidRDefault="009A1835" w:rsidP="00544E17">
      <w:pPr>
        <w:spacing w:before="240"/>
        <w:rPr>
          <w:sz w:val="24"/>
        </w:rPr>
      </w:pPr>
    </w:p>
    <w:tbl>
      <w:tblPr>
        <w:tblStyle w:val="TableGrid"/>
        <w:tblW w:w="15163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CellMar>
          <w:top w:w="284" w:type="dxa"/>
          <w:left w:w="567" w:type="dxa"/>
          <w:bottom w:w="284" w:type="dxa"/>
          <w:right w:w="567" w:type="dxa"/>
        </w:tblCellMar>
        <w:tblLook w:val="0420" w:firstRow="1" w:lastRow="0" w:firstColumn="0" w:lastColumn="0" w:noHBand="0" w:noVBand="1"/>
      </w:tblPr>
      <w:tblGrid>
        <w:gridCol w:w="15163"/>
      </w:tblGrid>
      <w:tr w:rsidR="009A1835" w:rsidRPr="009A1835" w14:paraId="22BEDBF3" w14:textId="77777777" w:rsidTr="00376611">
        <w:trPr>
          <w:trHeight w:val="100"/>
        </w:trPr>
        <w:tc>
          <w:tcPr>
            <w:tcW w:w="15163" w:type="dxa"/>
          </w:tcPr>
          <w:p w14:paraId="6DEFC754" w14:textId="53AE28B3" w:rsidR="003418A3" w:rsidRPr="009A1835" w:rsidRDefault="00376611" w:rsidP="00376611">
            <w:pPr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="AdobeClean-Regular" w:eastAsiaTheme="minorHAnsi" w:hAnsi="AdobeClean-Regular" w:cs="AdobeClean-Regular"/>
                <w:color w:val="000000"/>
                <w:sz w:val="27"/>
                <w:szCs w:val="27"/>
              </w:rPr>
              <w:t xml:space="preserve">General Practice is not a place for the management of emergencies and the guidelines in this handbook are not intended to </w:t>
            </w:r>
            <w:r w:rsidR="00752DE9">
              <w:rPr>
                <w:rFonts w:ascii="AdobeClean-Regular" w:eastAsiaTheme="minorHAnsi" w:hAnsi="AdobeClean-Regular" w:cs="AdobeClean-Regular"/>
                <w:color w:val="000000"/>
                <w:sz w:val="27"/>
                <w:szCs w:val="27"/>
              </w:rPr>
              <w:br/>
            </w:r>
            <w:r>
              <w:rPr>
                <w:rFonts w:ascii="AdobeClean-Regular" w:eastAsiaTheme="minorHAnsi" w:hAnsi="AdobeClean-Regular" w:cs="AdobeClean-Regular"/>
                <w:color w:val="000000"/>
                <w:sz w:val="27"/>
                <w:szCs w:val="27"/>
              </w:rPr>
              <w:t xml:space="preserve">be standards of medical care, they are there to support decision making when patients present acutely unwell to a Practice. The ultimate judgement </w:t>
            </w:r>
            <w:proofErr w:type="gramStart"/>
            <w:r>
              <w:rPr>
                <w:rFonts w:ascii="AdobeClean-Regular" w:eastAsiaTheme="minorHAnsi" w:hAnsi="AdobeClean-Regular" w:cs="AdobeClean-Regular"/>
                <w:color w:val="000000"/>
                <w:sz w:val="27"/>
                <w:szCs w:val="27"/>
              </w:rPr>
              <w:t>with regard to</w:t>
            </w:r>
            <w:proofErr w:type="gramEnd"/>
            <w:r>
              <w:rPr>
                <w:rFonts w:ascii="AdobeClean-Regular" w:eastAsiaTheme="minorHAnsi" w:hAnsi="AdobeClean-Regular" w:cs="AdobeClean-Regular"/>
                <w:color w:val="000000"/>
                <w:sz w:val="27"/>
                <w:szCs w:val="27"/>
              </w:rPr>
              <w:t xml:space="preserve"> a particular treatment plan must be made by the clinician </w:t>
            </w:r>
            <w:proofErr w:type="gramStart"/>
            <w:r>
              <w:rPr>
                <w:rFonts w:ascii="AdobeClean-Regular" w:eastAsiaTheme="minorHAnsi" w:hAnsi="AdobeClean-Regular" w:cs="AdobeClean-Regular"/>
                <w:color w:val="000000"/>
                <w:sz w:val="27"/>
                <w:szCs w:val="27"/>
              </w:rPr>
              <w:t>in light of</w:t>
            </w:r>
            <w:proofErr w:type="gramEnd"/>
            <w:r>
              <w:rPr>
                <w:rFonts w:ascii="AdobeClean-Regular" w:eastAsiaTheme="minorHAnsi" w:hAnsi="AdobeClean-Regular" w:cs="AdobeClean-Regular"/>
                <w:color w:val="000000"/>
                <w:sz w:val="27"/>
                <w:szCs w:val="27"/>
              </w:rPr>
              <w:t xml:space="preserve"> the clinical data presented, and consideration of the need for hospital transfer is an important part of that plan.</w:t>
            </w:r>
          </w:p>
        </w:tc>
      </w:tr>
    </w:tbl>
    <w:p w14:paraId="7EB612E0" w14:textId="74295F2C" w:rsidR="00E120CA" w:rsidRPr="00757784" w:rsidRDefault="00E120CA" w:rsidP="00544E17">
      <w:pPr>
        <w:spacing w:before="480" w:after="480"/>
        <w:jc w:val="center"/>
        <w:rPr>
          <w:sz w:val="36"/>
          <w:szCs w:val="36"/>
        </w:rPr>
      </w:pPr>
      <w:r w:rsidRPr="00757784">
        <w:rPr>
          <w:sz w:val="36"/>
          <w:szCs w:val="36"/>
        </w:rPr>
        <w:t>To ensure you have the most up to date edition, refer to contents page.</w:t>
      </w:r>
      <w:r w:rsidRPr="00757784">
        <w:rPr>
          <w:sz w:val="36"/>
          <w:szCs w:val="36"/>
        </w:rPr>
        <w:br/>
      </w:r>
      <w:r w:rsidRPr="00E120CA">
        <w:rPr>
          <w:b/>
          <w:bCs/>
          <w:sz w:val="36"/>
          <w:szCs w:val="36"/>
        </w:rPr>
        <w:t xml:space="preserve">DO NOT </w:t>
      </w:r>
      <w:r w:rsidRPr="00757784">
        <w:rPr>
          <w:sz w:val="36"/>
          <w:szCs w:val="36"/>
        </w:rPr>
        <w:t>add or remove documents</w:t>
      </w:r>
      <w:r w:rsidR="00544E17">
        <w:rPr>
          <w:b/>
          <w:bCs/>
          <w:sz w:val="36"/>
          <w:szCs w:val="36"/>
        </w:rPr>
        <w:t xml:space="preserve">. </w:t>
      </w:r>
      <w:r w:rsidRPr="00E120CA">
        <w:rPr>
          <w:b/>
          <w:bCs/>
          <w:sz w:val="36"/>
          <w:szCs w:val="36"/>
        </w:rPr>
        <w:t xml:space="preserve">DO NOT </w:t>
      </w:r>
      <w:r w:rsidRPr="00757784">
        <w:rPr>
          <w:sz w:val="36"/>
          <w:szCs w:val="36"/>
        </w:rPr>
        <w:t>alter the order of documents</w:t>
      </w:r>
    </w:p>
    <w:tbl>
      <w:tblPr>
        <w:tblStyle w:val="TableGrid"/>
        <w:tblW w:w="15163" w:type="dxa"/>
        <w:tblBorders>
          <w:top w:val="single" w:sz="24" w:space="0" w:color="404040" w:themeColor="text1" w:themeTint="BF"/>
          <w:left w:val="single" w:sz="24" w:space="0" w:color="404040" w:themeColor="text1" w:themeTint="BF"/>
          <w:bottom w:val="single" w:sz="24" w:space="0" w:color="404040" w:themeColor="text1" w:themeTint="BF"/>
          <w:right w:val="single" w:sz="24" w:space="0" w:color="404040" w:themeColor="text1" w:themeTint="BF"/>
          <w:insideH w:val="single" w:sz="24" w:space="0" w:color="404040" w:themeColor="text1" w:themeTint="BF"/>
          <w:insideV w:val="single" w:sz="24" w:space="0" w:color="404040" w:themeColor="text1" w:themeTint="BF"/>
        </w:tblBorders>
        <w:tblCellMar>
          <w:top w:w="170" w:type="dxa"/>
          <w:left w:w="170" w:type="dxa"/>
          <w:bottom w:w="170" w:type="dxa"/>
          <w:right w:w="170" w:type="dxa"/>
        </w:tblCellMar>
        <w:tblLook w:val="0420" w:firstRow="1" w:lastRow="0" w:firstColumn="0" w:lastColumn="0" w:noHBand="0" w:noVBand="1"/>
      </w:tblPr>
      <w:tblGrid>
        <w:gridCol w:w="10176"/>
        <w:gridCol w:w="4987"/>
      </w:tblGrid>
      <w:tr w:rsidR="00E120CA" w14:paraId="51FAB52A" w14:textId="77777777" w:rsidTr="00376611">
        <w:trPr>
          <w:trHeight w:val="90"/>
        </w:trPr>
        <w:tc>
          <w:tcPr>
            <w:tcW w:w="10176" w:type="dxa"/>
            <w:shd w:val="clear" w:color="auto" w:fill="FFF7D2"/>
          </w:tcPr>
          <w:p w14:paraId="47A93826" w14:textId="201EF0AC" w:rsidR="00E120CA" w:rsidRPr="00757784" w:rsidRDefault="00E120CA" w:rsidP="009071C4">
            <w:pPr>
              <w:tabs>
                <w:tab w:val="right" w:pos="9437"/>
              </w:tabs>
              <w:spacing w:before="240" w:after="60"/>
              <w:ind w:left="363"/>
              <w:rPr>
                <w:sz w:val="24"/>
              </w:rPr>
            </w:pPr>
            <w:r w:rsidRPr="00757784">
              <w:rPr>
                <w:sz w:val="24"/>
              </w:rPr>
              <w:t xml:space="preserve">This handbook remains the property of the </w:t>
            </w:r>
            <w:r w:rsidR="00757784" w:rsidRPr="00757784">
              <w:rPr>
                <w:sz w:val="24"/>
                <w:u w:val="single"/>
              </w:rPr>
              <w:tab/>
            </w:r>
            <w:r w:rsidRPr="00757784">
              <w:rPr>
                <w:sz w:val="24"/>
              </w:rPr>
              <w:t xml:space="preserve"> Surgery</w:t>
            </w:r>
          </w:p>
          <w:p w14:paraId="49F85E7E" w14:textId="3811C08B" w:rsidR="00E120CA" w:rsidRPr="00E120CA" w:rsidRDefault="00E120CA" w:rsidP="009071C4">
            <w:pPr>
              <w:tabs>
                <w:tab w:val="right" w:pos="9437"/>
              </w:tabs>
              <w:spacing w:before="240" w:after="60"/>
              <w:ind w:left="363"/>
            </w:pPr>
            <w:r w:rsidRPr="00757784">
              <w:rPr>
                <w:sz w:val="24"/>
              </w:rPr>
              <w:t>This copy belongs in the following location:</w:t>
            </w:r>
            <w:r w:rsidR="00757784" w:rsidRPr="00757784">
              <w:rPr>
                <w:sz w:val="24"/>
              </w:rPr>
              <w:t xml:space="preserve"> </w:t>
            </w:r>
            <w:r w:rsidR="00757784" w:rsidRPr="00757784">
              <w:rPr>
                <w:sz w:val="24"/>
                <w:u w:val="single"/>
              </w:rPr>
              <w:tab/>
            </w:r>
          </w:p>
        </w:tc>
        <w:tc>
          <w:tcPr>
            <w:tcW w:w="4987" w:type="dxa"/>
            <w:shd w:val="clear" w:color="auto" w:fill="404040" w:themeFill="text1" w:themeFillTint="BF"/>
            <w:vAlign w:val="center"/>
          </w:tcPr>
          <w:p w14:paraId="2CE1154B" w14:textId="4337ECC1" w:rsidR="00E120CA" w:rsidRPr="00E120CA" w:rsidRDefault="00E120CA" w:rsidP="00757784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120CA">
              <w:rPr>
                <w:b/>
                <w:bCs/>
                <w:color w:val="FFFFFF" w:themeColor="background1"/>
                <w:sz w:val="28"/>
                <w:szCs w:val="28"/>
              </w:rPr>
              <w:t xml:space="preserve">Return immediately </w:t>
            </w:r>
            <w:r w:rsidR="009A1835">
              <w:rPr>
                <w:b/>
                <w:bCs/>
                <w:color w:val="FFFFFF" w:themeColor="background1"/>
                <w:sz w:val="28"/>
                <w:szCs w:val="28"/>
              </w:rPr>
              <w:br/>
            </w:r>
            <w:r w:rsidRPr="00E120CA">
              <w:rPr>
                <w:b/>
                <w:bCs/>
                <w:color w:val="FFFFFF" w:themeColor="background1"/>
                <w:sz w:val="28"/>
                <w:szCs w:val="28"/>
              </w:rPr>
              <w:t>when not in use</w:t>
            </w:r>
          </w:p>
        </w:tc>
      </w:tr>
    </w:tbl>
    <w:p w14:paraId="3F0D8028" w14:textId="106F5D61" w:rsidR="00757784" w:rsidRPr="00376611" w:rsidRDefault="00757784" w:rsidP="00376611"/>
    <w:sectPr w:rsidR="00757784" w:rsidRPr="00376611" w:rsidSect="00544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992" w:right="851" w:bottom="567" w:left="851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B5F0" w14:textId="77777777" w:rsidR="008202FF" w:rsidRDefault="008202FF" w:rsidP="00F63D9B">
      <w:pPr>
        <w:spacing w:line="240" w:lineRule="auto"/>
      </w:pPr>
      <w:r>
        <w:separator/>
      </w:r>
    </w:p>
  </w:endnote>
  <w:endnote w:type="continuationSeparator" w:id="0">
    <w:p w14:paraId="6B28F5DA" w14:textId="77777777" w:rsidR="008202FF" w:rsidRDefault="008202FF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6A84" w14:textId="77777777" w:rsidR="00F10C8A" w:rsidRDefault="00F10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  <w:gridCol w:w="5628"/>
    </w:tblGrid>
    <w:tr w:rsidR="009071C4" w14:paraId="6443A043" w14:textId="77777777" w:rsidTr="009071C4">
      <w:tc>
        <w:tcPr>
          <w:tcW w:w="9498" w:type="dxa"/>
        </w:tcPr>
        <w:p w14:paraId="5FC17616" w14:textId="69492B48" w:rsidR="009071C4" w:rsidRDefault="009071C4" w:rsidP="009071C4">
          <w:pPr>
            <w:spacing w:before="120"/>
            <w:ind w:right="-34"/>
            <w:rPr>
              <w:spacing w:val="-2"/>
              <w:sz w:val="20"/>
              <w:szCs w:val="20"/>
            </w:rPr>
          </w:pPr>
          <w:r w:rsidRPr="00757784">
            <w:rPr>
              <w:spacing w:val="-2"/>
              <w:sz w:val="20"/>
              <w:szCs w:val="20"/>
            </w:rPr>
            <w:t xml:space="preserve">This GP QRH is based on the Association of Anaesthetists QRH, 2022 (Creative Commons license CC BY-NC-SA 4.0), </w:t>
          </w:r>
          <w:r>
            <w:rPr>
              <w:spacing w:val="-2"/>
              <w:sz w:val="20"/>
              <w:szCs w:val="20"/>
            </w:rPr>
            <w:br/>
          </w:r>
          <w:r w:rsidRPr="00757784">
            <w:rPr>
              <w:spacing w:val="-2"/>
              <w:sz w:val="20"/>
              <w:szCs w:val="20"/>
            </w:rPr>
            <w:t>with considerable adaptations made in line with the intended use and users.</w:t>
          </w:r>
          <w:r w:rsidR="00F10C8A">
            <w:rPr>
              <w:spacing w:val="-2"/>
              <w:sz w:val="20"/>
              <w:szCs w:val="20"/>
            </w:rPr>
            <w:t xml:space="preserve"> </w:t>
          </w:r>
          <w:r w:rsidR="00F10C8A">
            <w:rPr>
              <w:spacing w:val="-2"/>
              <w:sz w:val="20"/>
              <w:szCs w:val="20"/>
            </w:rPr>
            <w:t xml:space="preserve">Updated November </w:t>
          </w:r>
          <w:r w:rsidR="00F10C8A">
            <w:rPr>
              <w:spacing w:val="-2"/>
              <w:sz w:val="20"/>
              <w:szCs w:val="20"/>
            </w:rPr>
            <w:t>2025.</w:t>
          </w:r>
        </w:p>
      </w:tc>
      <w:tc>
        <w:tcPr>
          <w:tcW w:w="5628" w:type="dxa"/>
        </w:tcPr>
        <w:p w14:paraId="1BDC0F4C" w14:textId="258FE645" w:rsidR="009071C4" w:rsidRDefault="009071C4" w:rsidP="009071C4">
          <w:pPr>
            <w:spacing w:before="120"/>
            <w:ind w:right="-34"/>
            <w:rPr>
              <w:spacing w:val="-2"/>
              <w:sz w:val="20"/>
              <w:szCs w:val="20"/>
            </w:rPr>
          </w:pPr>
          <w:r w:rsidRPr="00E120CA">
            <w:rPr>
              <w:noProof/>
              <w:sz w:val="36"/>
              <w:szCs w:val="36"/>
            </w:rPr>
            <w:drawing>
              <wp:anchor distT="0" distB="252095" distL="114300" distR="114300" simplePos="0" relativeHeight="251659264" behindDoc="1" locked="0" layoutInCell="1" allowOverlap="1" wp14:anchorId="5AB1E49C" wp14:editId="746C7D5D">
                <wp:simplePos x="0" y="0"/>
                <wp:positionH relativeFrom="column">
                  <wp:posOffset>761365</wp:posOffset>
                </wp:positionH>
                <wp:positionV relativeFrom="paragraph">
                  <wp:posOffset>5080</wp:posOffset>
                </wp:positionV>
                <wp:extent cx="2815590" cy="657441"/>
                <wp:effectExtent l="0" t="0" r="3810" b="3175"/>
                <wp:wrapNone/>
                <wp:docPr id="1365100375" name="Picture 6" descr="A black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6" descr="A black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5590" cy="65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A96A44" w14:textId="612362BD" w:rsidR="009071C4" w:rsidRDefault="00907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1942" w14:textId="77777777" w:rsidR="00F10C8A" w:rsidRDefault="00F10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5AC6" w14:textId="77777777" w:rsidR="008202FF" w:rsidRDefault="008202FF" w:rsidP="00F63D9B">
      <w:pPr>
        <w:spacing w:line="240" w:lineRule="auto"/>
      </w:pPr>
      <w:r>
        <w:separator/>
      </w:r>
    </w:p>
  </w:footnote>
  <w:footnote w:type="continuationSeparator" w:id="0">
    <w:p w14:paraId="65C35146" w14:textId="77777777" w:rsidR="008202FF" w:rsidRDefault="008202FF" w:rsidP="00F63D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2D6" w14:textId="77777777" w:rsidR="00F10C8A" w:rsidRDefault="00F10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F12B" w14:textId="77777777" w:rsidR="00F10C8A" w:rsidRDefault="00F10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281B" w14:textId="77777777" w:rsidR="00F10C8A" w:rsidRDefault="00F10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EAF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3A9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C27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EA7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CA14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04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6BB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CE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94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52E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D70C3"/>
    <w:multiLevelType w:val="hybridMultilevel"/>
    <w:tmpl w:val="937A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B0939"/>
    <w:multiLevelType w:val="hybridMultilevel"/>
    <w:tmpl w:val="E9261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86E11"/>
    <w:multiLevelType w:val="hybridMultilevel"/>
    <w:tmpl w:val="84BA3E64"/>
    <w:lvl w:ilvl="0" w:tplc="05608F9A">
      <w:start w:val="1"/>
      <w:numFmt w:val="bullet"/>
      <w:pStyle w:val="ListParagraph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21E361B"/>
    <w:multiLevelType w:val="hybridMultilevel"/>
    <w:tmpl w:val="925436D0"/>
    <w:lvl w:ilvl="0" w:tplc="46CA461E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151DE"/>
    <w:multiLevelType w:val="hybridMultilevel"/>
    <w:tmpl w:val="4FE2E792"/>
    <w:lvl w:ilvl="0" w:tplc="9274D76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F0A83"/>
    <w:multiLevelType w:val="hybridMultilevel"/>
    <w:tmpl w:val="09B8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F478E"/>
    <w:multiLevelType w:val="hybridMultilevel"/>
    <w:tmpl w:val="89086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82197"/>
    <w:multiLevelType w:val="hybridMultilevel"/>
    <w:tmpl w:val="4772456A"/>
    <w:lvl w:ilvl="0" w:tplc="53C63A1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2392">
    <w:abstractNumId w:val="10"/>
  </w:num>
  <w:num w:numId="2" w16cid:durableId="1935626697">
    <w:abstractNumId w:val="16"/>
  </w:num>
  <w:num w:numId="3" w16cid:durableId="1939605084">
    <w:abstractNumId w:val="20"/>
  </w:num>
  <w:num w:numId="4" w16cid:durableId="135222882">
    <w:abstractNumId w:val="25"/>
  </w:num>
  <w:num w:numId="5" w16cid:durableId="1369986711">
    <w:abstractNumId w:val="0"/>
  </w:num>
  <w:num w:numId="6" w16cid:durableId="417483410">
    <w:abstractNumId w:val="1"/>
  </w:num>
  <w:num w:numId="7" w16cid:durableId="1688939916">
    <w:abstractNumId w:val="2"/>
  </w:num>
  <w:num w:numId="8" w16cid:durableId="490218333">
    <w:abstractNumId w:val="3"/>
  </w:num>
  <w:num w:numId="9" w16cid:durableId="118301146">
    <w:abstractNumId w:val="8"/>
  </w:num>
  <w:num w:numId="10" w16cid:durableId="1117406249">
    <w:abstractNumId w:val="4"/>
  </w:num>
  <w:num w:numId="11" w16cid:durableId="220360797">
    <w:abstractNumId w:val="5"/>
  </w:num>
  <w:num w:numId="12" w16cid:durableId="2071658902">
    <w:abstractNumId w:val="6"/>
  </w:num>
  <w:num w:numId="13" w16cid:durableId="1813014467">
    <w:abstractNumId w:val="7"/>
  </w:num>
  <w:num w:numId="14" w16cid:durableId="811026540">
    <w:abstractNumId w:val="9"/>
  </w:num>
  <w:num w:numId="15" w16cid:durableId="873346743">
    <w:abstractNumId w:val="26"/>
  </w:num>
  <w:num w:numId="16" w16cid:durableId="1989700614">
    <w:abstractNumId w:val="19"/>
  </w:num>
  <w:num w:numId="17" w16cid:durableId="615186562">
    <w:abstractNumId w:val="11"/>
  </w:num>
  <w:num w:numId="18" w16cid:durableId="1808859548">
    <w:abstractNumId w:val="28"/>
  </w:num>
  <w:num w:numId="19" w16cid:durableId="644239356">
    <w:abstractNumId w:val="23"/>
  </w:num>
  <w:num w:numId="20" w16cid:durableId="234173520">
    <w:abstractNumId w:val="12"/>
  </w:num>
  <w:num w:numId="21" w16cid:durableId="1061634281">
    <w:abstractNumId w:val="18"/>
  </w:num>
  <w:num w:numId="22" w16cid:durableId="668992055">
    <w:abstractNumId w:val="14"/>
  </w:num>
  <w:num w:numId="23" w16cid:durableId="208734094">
    <w:abstractNumId w:val="21"/>
  </w:num>
  <w:num w:numId="24" w16cid:durableId="201527508">
    <w:abstractNumId w:val="17"/>
  </w:num>
  <w:num w:numId="25" w16cid:durableId="1414430126">
    <w:abstractNumId w:val="27"/>
  </w:num>
  <w:num w:numId="26" w16cid:durableId="215052749">
    <w:abstractNumId w:val="15"/>
  </w:num>
  <w:num w:numId="27" w16cid:durableId="2143307208">
    <w:abstractNumId w:val="0"/>
  </w:num>
  <w:num w:numId="28" w16cid:durableId="1380398903">
    <w:abstractNumId w:val="1"/>
  </w:num>
  <w:num w:numId="29" w16cid:durableId="1884754385">
    <w:abstractNumId w:val="2"/>
  </w:num>
  <w:num w:numId="30" w16cid:durableId="1099638892">
    <w:abstractNumId w:val="3"/>
  </w:num>
  <w:num w:numId="31" w16cid:durableId="236325468">
    <w:abstractNumId w:val="8"/>
  </w:num>
  <w:num w:numId="32" w16cid:durableId="478692561">
    <w:abstractNumId w:val="4"/>
  </w:num>
  <w:num w:numId="33" w16cid:durableId="360011082">
    <w:abstractNumId w:val="5"/>
  </w:num>
  <w:num w:numId="34" w16cid:durableId="838468661">
    <w:abstractNumId w:val="6"/>
  </w:num>
  <w:num w:numId="35" w16cid:durableId="1464735993">
    <w:abstractNumId w:val="7"/>
  </w:num>
  <w:num w:numId="36" w16cid:durableId="75784479">
    <w:abstractNumId w:val="9"/>
  </w:num>
  <w:num w:numId="37" w16cid:durableId="1793085984">
    <w:abstractNumId w:val="24"/>
  </w:num>
  <w:num w:numId="38" w16cid:durableId="8990467">
    <w:abstractNumId w:val="22"/>
  </w:num>
  <w:num w:numId="39" w16cid:durableId="1630668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54DF2"/>
    <w:rsid w:val="00056ADA"/>
    <w:rsid w:val="00075981"/>
    <w:rsid w:val="000939F9"/>
    <w:rsid w:val="00096D42"/>
    <w:rsid w:val="000E33FB"/>
    <w:rsid w:val="00116C7E"/>
    <w:rsid w:val="00122E01"/>
    <w:rsid w:val="00134764"/>
    <w:rsid w:val="00143737"/>
    <w:rsid w:val="00190124"/>
    <w:rsid w:val="0019025E"/>
    <w:rsid w:val="0019042D"/>
    <w:rsid w:val="001A148D"/>
    <w:rsid w:val="001D006F"/>
    <w:rsid w:val="001D0BEE"/>
    <w:rsid w:val="001F3F51"/>
    <w:rsid w:val="00211B32"/>
    <w:rsid w:val="0022564D"/>
    <w:rsid w:val="002A76E1"/>
    <w:rsid w:val="002C17F6"/>
    <w:rsid w:val="002D68F9"/>
    <w:rsid w:val="00305EA3"/>
    <w:rsid w:val="0031164E"/>
    <w:rsid w:val="003418A3"/>
    <w:rsid w:val="00342562"/>
    <w:rsid w:val="00344304"/>
    <w:rsid w:val="00344EC4"/>
    <w:rsid w:val="00362CA6"/>
    <w:rsid w:val="00376611"/>
    <w:rsid w:val="003A26AB"/>
    <w:rsid w:val="003B51D9"/>
    <w:rsid w:val="00406A43"/>
    <w:rsid w:val="0041494F"/>
    <w:rsid w:val="00417855"/>
    <w:rsid w:val="00440F75"/>
    <w:rsid w:val="00456E88"/>
    <w:rsid w:val="004C778F"/>
    <w:rsid w:val="005045DA"/>
    <w:rsid w:val="005046A2"/>
    <w:rsid w:val="00544E17"/>
    <w:rsid w:val="00564850"/>
    <w:rsid w:val="0057047A"/>
    <w:rsid w:val="005833E1"/>
    <w:rsid w:val="00594881"/>
    <w:rsid w:val="00594E76"/>
    <w:rsid w:val="005B37B9"/>
    <w:rsid w:val="005E578F"/>
    <w:rsid w:val="005F3C77"/>
    <w:rsid w:val="00665360"/>
    <w:rsid w:val="006671E6"/>
    <w:rsid w:val="00682366"/>
    <w:rsid w:val="006A05EC"/>
    <w:rsid w:val="006B0D3A"/>
    <w:rsid w:val="00740FBD"/>
    <w:rsid w:val="00752DE9"/>
    <w:rsid w:val="00757784"/>
    <w:rsid w:val="00760991"/>
    <w:rsid w:val="00806B58"/>
    <w:rsid w:val="00813630"/>
    <w:rsid w:val="008202FF"/>
    <w:rsid w:val="008374D6"/>
    <w:rsid w:val="00865A3F"/>
    <w:rsid w:val="00882782"/>
    <w:rsid w:val="008B2774"/>
    <w:rsid w:val="008B4108"/>
    <w:rsid w:val="008B7487"/>
    <w:rsid w:val="008E5C57"/>
    <w:rsid w:val="00900E40"/>
    <w:rsid w:val="009071C4"/>
    <w:rsid w:val="00934663"/>
    <w:rsid w:val="0093556D"/>
    <w:rsid w:val="00935A58"/>
    <w:rsid w:val="00963997"/>
    <w:rsid w:val="009A1835"/>
    <w:rsid w:val="009B19AA"/>
    <w:rsid w:val="009D341F"/>
    <w:rsid w:val="009E0509"/>
    <w:rsid w:val="009E2405"/>
    <w:rsid w:val="00A074FE"/>
    <w:rsid w:val="00A20397"/>
    <w:rsid w:val="00A2369B"/>
    <w:rsid w:val="00A338C6"/>
    <w:rsid w:val="00A345D4"/>
    <w:rsid w:val="00A5416A"/>
    <w:rsid w:val="00A66CA2"/>
    <w:rsid w:val="00A75402"/>
    <w:rsid w:val="00AA3C61"/>
    <w:rsid w:val="00AD0313"/>
    <w:rsid w:val="00AD05E6"/>
    <w:rsid w:val="00B51F22"/>
    <w:rsid w:val="00B52FD0"/>
    <w:rsid w:val="00B92A4C"/>
    <w:rsid w:val="00B961EB"/>
    <w:rsid w:val="00BA3AD8"/>
    <w:rsid w:val="00BA6E9D"/>
    <w:rsid w:val="00BC31AC"/>
    <w:rsid w:val="00BE1681"/>
    <w:rsid w:val="00C441E2"/>
    <w:rsid w:val="00C44363"/>
    <w:rsid w:val="00C769E7"/>
    <w:rsid w:val="00C920D4"/>
    <w:rsid w:val="00C97542"/>
    <w:rsid w:val="00CC0601"/>
    <w:rsid w:val="00CD29AD"/>
    <w:rsid w:val="00CD467B"/>
    <w:rsid w:val="00CF7456"/>
    <w:rsid w:val="00D15B0C"/>
    <w:rsid w:val="00D41CC2"/>
    <w:rsid w:val="00D62D1F"/>
    <w:rsid w:val="00D71127"/>
    <w:rsid w:val="00DB7A43"/>
    <w:rsid w:val="00DE16B0"/>
    <w:rsid w:val="00E120CA"/>
    <w:rsid w:val="00E21D83"/>
    <w:rsid w:val="00E323D6"/>
    <w:rsid w:val="00E41D51"/>
    <w:rsid w:val="00E9354B"/>
    <w:rsid w:val="00EE1A28"/>
    <w:rsid w:val="00F059A9"/>
    <w:rsid w:val="00F10C8A"/>
    <w:rsid w:val="00F357DF"/>
    <w:rsid w:val="00F452DF"/>
    <w:rsid w:val="00F54109"/>
    <w:rsid w:val="00F63D9B"/>
    <w:rsid w:val="00F6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416A"/>
    <w:pPr>
      <w:numPr>
        <w:numId w:val="23"/>
      </w:numPr>
      <w:ind w:left="227" w:hanging="227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08"/>
    <w:pPr>
      <w:numPr>
        <w:numId w:val="2"/>
      </w:numPr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8C55C3" w:themeColor="accent1" w:themeTint="BF"/>
        <w:left w:val="single" w:sz="8" w:space="0" w:color="8C55C3" w:themeColor="accent1" w:themeTint="BF"/>
        <w:bottom w:val="single" w:sz="8" w:space="0" w:color="8C55C3" w:themeColor="accent1" w:themeTint="BF"/>
        <w:right w:val="single" w:sz="8" w:space="0" w:color="8C55C3" w:themeColor="accent1" w:themeTint="BF"/>
        <w:insideH w:val="single" w:sz="8" w:space="0" w:color="8C55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55C3" w:themeColor="accent1" w:themeTint="BF"/>
          <w:left w:val="single" w:sz="8" w:space="0" w:color="8C55C3" w:themeColor="accent1" w:themeTint="BF"/>
          <w:bottom w:val="single" w:sz="8" w:space="0" w:color="8C55C3" w:themeColor="accent1" w:themeTint="BF"/>
          <w:right w:val="single" w:sz="8" w:space="0" w:color="8C55C3" w:themeColor="accent1" w:themeTint="BF"/>
          <w:insideH w:val="nil"/>
          <w:insideV w:val="nil"/>
        </w:tcBorders>
        <w:shd w:val="clear" w:color="auto" w:fill="67359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55C3" w:themeColor="accent1" w:themeTint="BF"/>
          <w:left w:val="single" w:sz="8" w:space="0" w:color="8C55C3" w:themeColor="accent1" w:themeTint="BF"/>
          <w:bottom w:val="single" w:sz="8" w:space="0" w:color="8C55C3" w:themeColor="accent1" w:themeTint="BF"/>
          <w:right w:val="single" w:sz="8" w:space="0" w:color="8C55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6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C6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338C6"/>
    <w:rPr>
      <w:b/>
      <w:bCs/>
      <w:sz w:val="40"/>
      <w:szCs w:val="40"/>
    </w:rPr>
  </w:style>
  <w:style w:type="paragraph" w:customStyle="1" w:styleId="Introparagraph">
    <w:name w:val="Intro paragraph"/>
    <w:basedOn w:val="Normal"/>
    <w:qFormat/>
    <w:rsid w:val="00C920D4"/>
    <w:pPr>
      <w:spacing w:before="120" w:after="240" w:line="240" w:lineRule="auto"/>
      <w:ind w:right="3229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A338C6"/>
    <w:rPr>
      <w:rFonts w:eastAsiaTheme="minorEastAsia" w:cs="Times New Roman (Body CS)"/>
      <w:b/>
      <w:bCs/>
      <w:sz w:val="40"/>
      <w:szCs w:val="40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2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E5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C57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C57"/>
    <w:rPr>
      <w:rFonts w:eastAsiaTheme="minorEastAsia" w:cs="Times New Roman (Body CS)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5C57"/>
    <w:rPr>
      <w:rFonts w:eastAsiaTheme="minorEastAsia" w:cs="Times New Roman (Body CS)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E9D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9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70B641"/>
      </a:dk2>
      <a:lt2>
        <a:srgbClr val="E7E6E6"/>
      </a:lt2>
      <a:accent1>
        <a:srgbClr val="673598"/>
      </a:accent1>
      <a:accent2>
        <a:srgbClr val="FF4F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13</cp:revision>
  <cp:lastPrinted>2024-11-06T20:22:00Z</cp:lastPrinted>
  <dcterms:created xsi:type="dcterms:W3CDTF">2023-10-30T14:03:00Z</dcterms:created>
  <dcterms:modified xsi:type="dcterms:W3CDTF">2025-11-26T20:36:00Z</dcterms:modified>
</cp:coreProperties>
</file>